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4AF3">
      <w:pPr>
        <w:pStyle w:val="19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kern w:val="21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kern w:val="21"/>
          <w:sz w:val="36"/>
          <w:szCs w:val="36"/>
          <w:highlight w:val="none"/>
          <w:lang w:val="en-US" w:eastAsia="zh-CN" w:bidi="ar-SA"/>
        </w:rPr>
        <w:t>资格性和符合性审查</w:t>
      </w:r>
    </w:p>
    <w:p w14:paraId="14D708E8">
      <w:pPr>
        <w:pStyle w:val="19"/>
        <w:ind w:firstLine="720" w:firstLineChars="3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项目编号：</w:t>
      </w:r>
    </w:p>
    <w:tbl>
      <w:tblPr>
        <w:tblStyle w:val="16"/>
        <w:tblW w:w="13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267"/>
        <w:gridCol w:w="1159"/>
        <w:gridCol w:w="1159"/>
        <w:gridCol w:w="1159"/>
      </w:tblGrid>
      <w:tr w14:paraId="5E14F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3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▲请各响应供应商严格按下表提供资格文件，若资格审查不通过无法进入下一步评审！</w:t>
            </w:r>
          </w:p>
        </w:tc>
      </w:tr>
      <w:tr w14:paraId="6006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审查项目</w:t>
            </w:r>
          </w:p>
        </w:tc>
        <w:tc>
          <w:tcPr>
            <w:tcW w:w="3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审查结论</w:t>
            </w:r>
          </w:p>
        </w:tc>
      </w:tr>
      <w:tr w14:paraId="3839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21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5C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A公司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B公司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C公司</w:t>
            </w:r>
          </w:p>
        </w:tc>
      </w:tr>
      <w:tr w14:paraId="34DD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响应供应商应具备《中华人民共和国政府采购法》第二十二条规定的条件（提供承诺函）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49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CE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C1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2B4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A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具有良好的商业信誉，供应商未被列入“信用中国”网站(www.creditchina.gov.cn)“记录失信被执行人或重大税收违法案件当事人名单”记录名单；不处于中国政府采购网(www.ccgp.gov.cn)“政府采购严重违法失信行为信息记录”中的禁止参加政府采购活动期间。以评审前一周内在“信用中国”网站（www.creditchina.gov.cn）及中国政府采购网（http://www.ccgp.gov.cn/）查询结果为准，如相关失信记录已失效，供应商需提供相关证明资料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42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C5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F3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92C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6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提供经营资质证明、生产许可证等复印件并加盖公章。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11E6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32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75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2FB7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本项目不接受联合体投标，不允许分包转包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（提供承诺函）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FF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E1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24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EE5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 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97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39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49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F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65632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打“×”的原因详细说明：</w:t>
            </w:r>
          </w:p>
        </w:tc>
      </w:tr>
    </w:tbl>
    <w:p w14:paraId="714C6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</w:p>
    <w:p w14:paraId="54425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每一项符合的打</w:t>
      </w:r>
      <w:r>
        <w:rPr>
          <w:rFonts w:hint="eastAsia" w:ascii="仿宋_GB2312" w:hAnsi="仿宋_GB2312" w:eastAsia="仿宋_GB2312" w:cs="仿宋_GB2312"/>
          <w:sz w:val="24"/>
          <w:szCs w:val="24"/>
        </w:rPr>
        <w:t>“〇”，不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符合的打</w:t>
      </w:r>
      <w:r>
        <w:rPr>
          <w:rFonts w:hint="eastAsia" w:ascii="仿宋_GB2312" w:hAnsi="仿宋_GB2312" w:eastAsia="仿宋_GB2312" w:cs="仿宋_GB2312"/>
          <w:sz w:val="24"/>
          <w:szCs w:val="24"/>
        </w:rPr>
        <w:t>“×”。出现一个“×”的结论为不通过。</w:t>
      </w:r>
    </w:p>
    <w:p w14:paraId="062CC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表中全部条件满足为通过,同意进入下一阶段评议。</w:t>
      </w:r>
    </w:p>
    <w:p w14:paraId="6F07AB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评审项目全部合格方可视为通过符合性审查，在“结论”栏中填写“符合”，否则为“不符合”。</w:t>
      </w:r>
    </w:p>
    <w:p w14:paraId="7AD068C8">
      <w:pPr>
        <w:pStyle w:val="7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6C07BCB">
      <w:pPr>
        <w:pStyle w:val="1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9A8787E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  <w:t>审查专家签名：                                               日期：</w:t>
      </w:r>
    </w:p>
    <w:p w14:paraId="43F93C73">
      <w:pPr>
        <w:pStyle w:val="15"/>
        <w:ind w:left="0" w:leftChars="0" w:firstLine="0" w:firstLineChars="0"/>
        <w:jc w:val="both"/>
        <w:rPr>
          <w:rFonts w:hint="eastAsia" w:ascii="仿宋_GB2312" w:hAnsi="仿宋_GB2312" w:eastAsia="仿宋_GB2312" w:cs="仿宋_GB2312"/>
          <w:lang w:val="en-US" w:eastAsia="zh-CN"/>
        </w:rPr>
      </w:pPr>
    </w:p>
    <w:p w14:paraId="1A9AE2BE">
      <w:pPr>
        <w:tabs>
          <w:tab w:val="decimal" w:pos="315"/>
          <w:tab w:val="left" w:pos="630"/>
        </w:tabs>
        <w:jc w:val="center"/>
        <w:rPr>
          <w:rFonts w:hint="eastAsia" w:ascii="方正小标宋_GBK" w:hAnsi="方正小标宋_GBK" w:eastAsia="方正小标宋_GBK" w:cs="方正小标宋_GBK"/>
          <w:b w:val="0"/>
          <w:kern w:val="21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kern w:val="21"/>
          <w:sz w:val="36"/>
          <w:szCs w:val="36"/>
          <w:highlight w:val="none"/>
          <w:lang w:val="en-US" w:eastAsia="zh-CN"/>
        </w:rPr>
        <w:t>商务技术评分表</w:t>
      </w:r>
    </w:p>
    <w:tbl>
      <w:tblPr>
        <w:tblStyle w:val="16"/>
        <w:tblpPr w:leftFromText="180" w:rightFromText="180" w:vertAnchor="text" w:horzAnchor="page" w:tblpX="1530" w:tblpY="368"/>
        <w:tblOverlap w:val="never"/>
        <w:tblW w:w="14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10"/>
        <w:gridCol w:w="1220"/>
        <w:gridCol w:w="11280"/>
      </w:tblGrid>
      <w:tr w14:paraId="6B5C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80" w:type="dxa"/>
            <w:noWrap w:val="0"/>
            <w:vAlign w:val="center"/>
          </w:tcPr>
          <w:p w14:paraId="2FAD7DDD">
            <w:pPr>
              <w:pStyle w:val="12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黑体" w:hAnsi="黑体" w:eastAsia="黑体" w:cs="黑体"/>
                <w:kern w:val="2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1"/>
                <w:sz w:val="24"/>
                <w:szCs w:val="24"/>
              </w:rPr>
              <w:t>序号</w:t>
            </w:r>
          </w:p>
        </w:tc>
        <w:tc>
          <w:tcPr>
            <w:tcW w:w="1210" w:type="dxa"/>
            <w:noWrap w:val="0"/>
            <w:vAlign w:val="center"/>
          </w:tcPr>
          <w:p w14:paraId="506724B9">
            <w:pPr>
              <w:pStyle w:val="12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黑体" w:hAnsi="黑体" w:eastAsia="黑体" w:cs="黑体"/>
                <w:kern w:val="2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1"/>
                <w:sz w:val="24"/>
                <w:szCs w:val="24"/>
              </w:rPr>
              <w:t>评审项目</w:t>
            </w:r>
          </w:p>
        </w:tc>
        <w:tc>
          <w:tcPr>
            <w:tcW w:w="1220" w:type="dxa"/>
            <w:noWrap w:val="0"/>
            <w:vAlign w:val="center"/>
          </w:tcPr>
          <w:p w14:paraId="690A5FE2">
            <w:pPr>
              <w:pStyle w:val="12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黑体" w:hAnsi="黑体" w:eastAsia="黑体" w:cs="黑体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1"/>
                <w:sz w:val="24"/>
                <w:szCs w:val="24"/>
                <w:lang w:val="en-US" w:eastAsia="zh-CN"/>
              </w:rPr>
              <w:t>分配分数</w:t>
            </w:r>
          </w:p>
        </w:tc>
        <w:tc>
          <w:tcPr>
            <w:tcW w:w="11280" w:type="dxa"/>
            <w:noWrap w:val="0"/>
            <w:vAlign w:val="center"/>
          </w:tcPr>
          <w:p w14:paraId="251E9BFA">
            <w:pPr>
              <w:pStyle w:val="12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黑体" w:hAnsi="黑体" w:eastAsia="黑体" w:cs="黑体"/>
                <w:kern w:val="2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1"/>
                <w:sz w:val="24"/>
                <w:szCs w:val="24"/>
              </w:rPr>
              <w:t>评分范围</w:t>
            </w:r>
          </w:p>
        </w:tc>
      </w:tr>
      <w:tr w14:paraId="0AAE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DC9EA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5C10C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商务响应</w:t>
            </w:r>
          </w:p>
          <w:p w14:paraId="2A5666D2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程度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935D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05FD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考核投标人对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本采购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文件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附件2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商务要求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”中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的主要商务要求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所有条款的响应程度（每条条款最小一级序号均以一项计算）：全部响应得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分，有1项条款为负偏离或不响应，得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分；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有2项条款为负偏离或不响应，得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以此类推。</w:t>
            </w:r>
          </w:p>
        </w:tc>
      </w:tr>
      <w:tr w14:paraId="294A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BB15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FDA9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企业资质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500A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3分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FA50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1.质量管理体系认证证书（1分）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53BBEC7B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2.环境管理体系认证（1分）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274EFF96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3.职业健康安全管理体系证书（1分）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4D6D6BBB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</w:rPr>
              <w:t>注: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</w:rPr>
              <w:t>或所投设备生产厂家有效期内的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</w:rPr>
              <w:t>证书复印件并加盖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</w:rPr>
              <w:t>的公章，满分3分，不提供不得分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7552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1E81A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2CC0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用户需求中技术条款的响应情况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07AD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16分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083A">
            <w:pPr>
              <w:widowControl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考核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投标人对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附件2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参数需求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的响应程度（每条条款序号均以一项计算）。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本项目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条款参数共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条。按量化指标，评审分数按以下公式进行计算：</w:t>
            </w:r>
          </w:p>
          <w:p w14:paraId="294B8432">
            <w:pPr>
              <w:widowControl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优于或完全响应的参数数量/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条款参数总数量*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分=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技术条款参数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得分（得分按四舍五入保留两位小数）。本小项共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分。注：1）评审依据以投标人投标文件中响应表填写内容为准，未填写的视为负偏离。投标文件中必须提供不限于原厂彩页证明文件、技术白皮书、产品功能界面截图、检测报告等可证实参数真实有效性的产品技术支持文件。所提供的支持文件应包括所有参数，并有清晰的说明，如评标委员会无法从所提供资料中判断参数是否符合要求的，视为负偏离。</w:t>
            </w:r>
          </w:p>
          <w:p w14:paraId="624D56A5">
            <w:pPr>
              <w:pStyle w:val="6"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2）如采购需求中有明确要求提供具体证明资料的，必须按采购需求单独（额外）提供。</w:t>
            </w:r>
          </w:p>
          <w:p w14:paraId="608B5BAC">
            <w:pPr>
              <w:pStyle w:val="6"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3）以上要求，供应商无提供或未按要求提供材料的得0分。</w:t>
            </w:r>
          </w:p>
        </w:tc>
      </w:tr>
      <w:tr w14:paraId="7F71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D4941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50B60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安装、检测、验收计划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3396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E7A5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评委对各投标人提供的安装、检测、验收计划进行评审。</w:t>
            </w:r>
          </w:p>
          <w:p w14:paraId="28C14947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安装、检测、验收计划条理清晰，脉络分明，操作性强，人性化，能体现以人为本、服务至上的售后理念，得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分； </w:t>
            </w:r>
          </w:p>
          <w:p w14:paraId="07A65CB6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安装、检测、验收计划条理较清晰，脉络较分明，操作性较强，能体现以人为本、服务至上的售后理念，得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分； </w:t>
            </w:r>
          </w:p>
          <w:p w14:paraId="67499CF4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安装、检测、验收计划条理一般，脉络一般，操作性一般，不能体现以人为本、服务至上的售后理念，得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753C7BC4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安装、检测、验收计划条理模糊，脉络不分明，操作性差，不能体现以人为本、服务至上的售后理念，得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48B72D9C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未提供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相关内容，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得0分。</w:t>
            </w:r>
          </w:p>
        </w:tc>
      </w:tr>
      <w:tr w14:paraId="4920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64ED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C137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培训计划</w:t>
            </w:r>
          </w:p>
          <w:p w14:paraId="73ABD46B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方案 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E56CB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0860E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评委对各投标人提供的培训计划方案进行评审，培训内容应包含本次设备项目。</w:t>
            </w:r>
          </w:p>
          <w:p w14:paraId="647A3B5F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培训计划方案能针对项目具体内容展开，分别对操作人员及维护人员提供操作培训及维护培训，方案可行性非常强，能在项目履约进度计划时间安排内完成培训计划，操作人员及维护人员能快速熟练掌握，得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4E840B71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培训计划方案能针对项目具体内容展开，分别对操作人员及维护人员提供操作培训及维护培训，方案可行性比较强，能在项目履约进度计划时间安排内完成培训计划，操作人员及维护人员比较能熟练掌握，得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分； </w:t>
            </w:r>
          </w:p>
          <w:p w14:paraId="2B299B9F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培训计划方案能针对项目具体内容展开，分别对操作人员及维护人员提供操作培训及维护培训，方案可行性一般，勉强能在项目履约进度计划时间安排内完成培训计划，操作人员及维护人员不太能熟练掌握，得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分； </w:t>
            </w:r>
          </w:p>
          <w:p w14:paraId="790A17AB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培训计划方案没有针对项目具体内容展开，没有对操作人员及维护人员提供操作培训及维护培训，方案可行性差，不能在项目履约进度计划时间安排内完成培训计划，操作人员及维护人员不能熟练掌握，得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61658BF4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未提供方案，得0分。</w:t>
            </w:r>
          </w:p>
        </w:tc>
      </w:tr>
      <w:tr w14:paraId="307E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5A3CE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30E7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服务响应、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售后及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应急措施方案 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2B33B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F39AE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评委对各投标人服务响应、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售后及应急措施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方案（含服务响应时间、处理问题能力、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售后、应急方案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等）进行评审。</w:t>
            </w:r>
          </w:p>
          <w:p w14:paraId="169B4C6E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服务响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应时间满足或优于招标文件要求；有详细具体可行的保修、维护、服务、技术支持措施计划和承诺，处理问题能力强，售后及保修期内的服务方案优；应急措施方案好，考虑情况全面，非常周全、详尽、可行，得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分； </w:t>
            </w:r>
          </w:p>
          <w:p w14:paraId="5A5E6A7D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服务响应时间满足招标文件要求；有比较详细具体可行的保修、维护、服务、技术支持措施计划和承诺，售后及保修期内的服务方案较好；应急措施方案较好，考虑情况较全面，比较周全、详尽、可行，得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787C7942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服务响应时间满足招标文件要求；保修、维护、服务、技术支持措施计划和承诺可行性一般，售后及保修期内的服务方案一般； 应急措施方案一般，考虑情况一般，可行性一般，得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44E71D3D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服务响应时间未能满足招标文件要求；保修、维护、服务、技术 支持措施计划和承诺不太可行，售后及保修期内的服务方案不够具体；应急措施方案考虑情况不太周全，处理措施不够完善，不太可行，得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25355048">
            <w:pPr>
              <w:pStyle w:val="6"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提供方案，得0分。</w:t>
            </w:r>
          </w:p>
        </w:tc>
      </w:tr>
      <w:tr w14:paraId="67F6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42DE9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E06A6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保障项目按期完成的具体措施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方案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3275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449CF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评委对各投标人提供的保障项目按期完成的具体措施方案进行评审。</w:t>
            </w:r>
          </w:p>
          <w:p w14:paraId="4D77BACD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保障项目按期完成的具体措施方案，方案好，工作安排合理、完善，管理科学规范，得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13EC8C35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保障项目按期完成的具体措施方案一般，工作安排一般，管理一般，得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1C2E6DA4">
            <w:pPr>
              <w:pStyle w:val="6"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保障项目按期完成的具体措施方案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，工作安排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1D89452E">
            <w:pPr>
              <w:pStyle w:val="7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未提供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方案，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得0分。</w:t>
            </w:r>
          </w:p>
        </w:tc>
      </w:tr>
      <w:tr w14:paraId="5B1D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A9D18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pacing w:val="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A5CA5A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同类项目</w:t>
            </w:r>
          </w:p>
          <w:p w14:paraId="12E06F54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业绩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49EEBB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0372BC">
            <w:pPr>
              <w:widowControl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评标委员会应根据投标人提供的《业绩情况一览表》进行评审：</w:t>
            </w:r>
          </w:p>
          <w:p w14:paraId="6456D630">
            <w:pPr>
              <w:widowControl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2021年1月1日以来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投标人承接的同类项目业绩，每提供一个项目业绩得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分，最多得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分。</w:t>
            </w:r>
          </w:p>
          <w:p w14:paraId="60486151">
            <w:pPr>
              <w:pStyle w:val="6"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注：（1）投标文件中提供加盖投标人公章并签字（或盖私章）的《业绩情况一览表》，同时还须提供加盖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人公章的业绩合同关键页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复印件（关键页内容必须清晰阐明项目名称、双方单位名称、合同履行主要内容），未按要求提供的不得分；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(2)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《业绩情况一览表》的格式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自拟，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《业绩情况一览表》中“项目名称、业主名称、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/>
              </w:rPr>
              <w:t>签约时间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”为必填项，漏填得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分 。（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）未列入《业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绩情况一览表》的业绩，得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分。</w:t>
            </w:r>
          </w:p>
        </w:tc>
      </w:tr>
      <w:tr w14:paraId="0553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CC3A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1EA3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合  计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3D6D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/>
              </w:rPr>
              <w:t>60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1327C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</w:tr>
    </w:tbl>
    <w:p w14:paraId="563B490C">
      <w:pPr>
        <w:pStyle w:val="15"/>
        <w:ind w:left="0" w:leftChars="0" w:firstLine="0" w:firstLineChars="0"/>
        <w:rPr>
          <w:rFonts w:hint="eastAsia" w:ascii="宋体" w:hAnsi="宋体" w:eastAsia="宋体" w:cs="宋体"/>
          <w:b/>
          <w:sz w:val="18"/>
          <w:szCs w:val="18"/>
        </w:rPr>
      </w:pPr>
    </w:p>
    <w:p w14:paraId="7C1D56C6">
      <w:pPr>
        <w:pStyle w:val="12"/>
        <w:widowControl/>
        <w:autoSpaceDE/>
        <w:autoSpaceDN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价格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lang w:eastAsia="zh-CN"/>
        </w:rPr>
        <w:t>评审</w:t>
      </w:r>
      <w:r>
        <w:rPr>
          <w:rFonts w:hint="eastAsia" w:eastAsia="仿宋_GB2312" w:cs="Times New Roman"/>
          <w:kern w:val="2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</w:rPr>
        <w:t>价格得分满分为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  <w:lang w:val="en-US"/>
        </w:rPr>
        <w:t>40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</w:rPr>
        <w:t>分</w:t>
      </w:r>
      <w:r>
        <w:rPr>
          <w:rFonts w:hint="eastAsia" w:eastAsia="仿宋_GB2312" w:cs="Times New Roman"/>
          <w:kern w:val="21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：</w:t>
      </w:r>
    </w:p>
    <w:p w14:paraId="1443C4EC">
      <w:pPr>
        <w:pStyle w:val="12"/>
        <w:widowControl/>
        <w:autoSpaceDE/>
        <w:autoSpaceDN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</w:rPr>
        <w:t>评标基准价为满足招标文件要求且价格最低的投标报价。</w:t>
      </w:r>
    </w:p>
    <w:p w14:paraId="2E817DC6">
      <w:pPr>
        <w:pStyle w:val="12"/>
        <w:widowControl/>
        <w:autoSpaceDE/>
        <w:autoSpaceDN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  <w:t>投标人价格得分=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kern w:val="21"/>
          <w:sz w:val="32"/>
          <w:szCs w:val="32"/>
          <w:highlight w:val="none"/>
          <w:lang w:eastAsia="zh-CN"/>
        </w:rPr>
        <w:t>设备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  <w:lang w:eastAsia="zh-CN"/>
        </w:rPr>
        <w:t>评标基准价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  <w:lang w:eastAsia="zh-CN"/>
        </w:rPr>
        <w:t>设备投标报价）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  <w:t>*</w:t>
      </w:r>
      <w:r>
        <w:rPr>
          <w:rFonts w:hint="eastAsia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eastAsia="zh-CN"/>
        </w:rPr>
        <w:t>分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  <w:t>（保留小数点后2位，四舍五入）。</w:t>
      </w:r>
    </w:p>
    <w:p w14:paraId="42BF5653">
      <w:pPr>
        <w:jc w:val="center"/>
        <w:rPr>
          <w:rFonts w:hint="eastAsia" w:ascii="方正小标宋_GBK" w:hAnsi="方正小标宋_GBK" w:eastAsia="方正小标宋_GBK" w:cs="方正小标宋_GBK"/>
          <w:b w:val="0"/>
          <w:iCs w:val="0"/>
          <w:kern w:val="21"/>
          <w:sz w:val="36"/>
          <w:szCs w:val="36"/>
          <w:highlight w:val="none"/>
          <w:lang w:val="en-US" w:eastAsia="zh-CN"/>
        </w:rPr>
      </w:pPr>
    </w:p>
    <w:p w14:paraId="41B6F5E0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iCs w:val="0"/>
          <w:kern w:val="21"/>
          <w:sz w:val="36"/>
          <w:szCs w:val="36"/>
          <w:highlight w:val="none"/>
          <w:lang w:val="en-US" w:eastAsia="zh-CN"/>
        </w:rPr>
        <w:t>价格</w:t>
      </w:r>
      <w:r>
        <w:rPr>
          <w:rFonts w:hint="eastAsia" w:ascii="方正小标宋_GBK" w:hAnsi="方正小标宋_GBK" w:eastAsia="方正小标宋_GBK" w:cs="方正小标宋_GBK"/>
          <w:b w:val="0"/>
          <w:iCs w:val="0"/>
          <w:kern w:val="21"/>
          <w:sz w:val="36"/>
          <w:szCs w:val="36"/>
          <w:highlight w:val="none"/>
        </w:rPr>
        <w:t>评分表</w:t>
      </w:r>
    </w:p>
    <w:tbl>
      <w:tblPr>
        <w:tblStyle w:val="16"/>
        <w:tblpPr w:leftFromText="180" w:rightFromText="180" w:vertAnchor="text" w:horzAnchor="page" w:tblpXSpec="center" w:tblpY="334"/>
        <w:tblOverlap w:val="never"/>
        <w:tblW w:w="13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879"/>
        <w:gridCol w:w="1390"/>
        <w:gridCol w:w="8940"/>
      </w:tblGrid>
      <w:tr w14:paraId="668F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46" w:type="dxa"/>
            <w:noWrap w:val="0"/>
            <w:vAlign w:val="center"/>
          </w:tcPr>
          <w:p w14:paraId="59E11A4E">
            <w:pPr>
              <w:pStyle w:val="22"/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</w:rPr>
              <w:t>序号</w:t>
            </w:r>
          </w:p>
        </w:tc>
        <w:tc>
          <w:tcPr>
            <w:tcW w:w="1879" w:type="dxa"/>
            <w:noWrap w:val="0"/>
            <w:vAlign w:val="center"/>
          </w:tcPr>
          <w:p w14:paraId="3808986C">
            <w:pPr>
              <w:pStyle w:val="22"/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</w:rPr>
              <w:t>评审项目</w:t>
            </w:r>
          </w:p>
        </w:tc>
        <w:tc>
          <w:tcPr>
            <w:tcW w:w="1390" w:type="dxa"/>
            <w:noWrap w:val="0"/>
            <w:vAlign w:val="center"/>
          </w:tcPr>
          <w:p w14:paraId="14AB48AA">
            <w:pPr>
              <w:pStyle w:val="22"/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  <w:lang w:eastAsia="zh-CN"/>
              </w:rPr>
              <w:t>分配分数</w:t>
            </w:r>
          </w:p>
        </w:tc>
        <w:tc>
          <w:tcPr>
            <w:tcW w:w="8940" w:type="dxa"/>
            <w:noWrap w:val="0"/>
            <w:vAlign w:val="center"/>
          </w:tcPr>
          <w:p w14:paraId="74FDAC71">
            <w:pPr>
              <w:pStyle w:val="22"/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  <w:lang w:val="en-US" w:eastAsia="zh-CN"/>
              </w:rPr>
              <w:t>评审标准</w:t>
            </w:r>
          </w:p>
        </w:tc>
      </w:tr>
      <w:tr w14:paraId="59A9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146" w:type="dxa"/>
            <w:noWrap w:val="0"/>
            <w:vAlign w:val="center"/>
          </w:tcPr>
          <w:p w14:paraId="5C8FCB0B">
            <w:pPr>
              <w:pStyle w:val="12"/>
              <w:widowControl/>
              <w:autoSpaceDE/>
              <w:autoSpaceDN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32"/>
                <w:szCs w:val="32"/>
              </w:rPr>
              <w:t>1</w:t>
            </w:r>
          </w:p>
        </w:tc>
        <w:tc>
          <w:tcPr>
            <w:tcW w:w="1879" w:type="dxa"/>
            <w:noWrap w:val="0"/>
            <w:vAlign w:val="center"/>
          </w:tcPr>
          <w:p w14:paraId="2D34066E">
            <w:pPr>
              <w:pStyle w:val="12"/>
              <w:widowControl/>
              <w:autoSpaceDE/>
              <w:autoSpaceDN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32"/>
                <w:szCs w:val="32"/>
                <w:lang w:val="en-US" w:eastAsia="zh-CN"/>
              </w:rPr>
              <w:t>价格得分</w:t>
            </w:r>
          </w:p>
        </w:tc>
        <w:tc>
          <w:tcPr>
            <w:tcW w:w="1390" w:type="dxa"/>
            <w:noWrap w:val="0"/>
            <w:vAlign w:val="center"/>
          </w:tcPr>
          <w:p w14:paraId="080AE74F">
            <w:pPr>
              <w:pStyle w:val="12"/>
              <w:widowControl/>
              <w:autoSpaceDE/>
              <w:autoSpaceDN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32"/>
                <w:szCs w:val="32"/>
                <w:lang w:val="en-US" w:eastAsia="zh-CN"/>
              </w:rPr>
              <w:t>40分</w:t>
            </w:r>
          </w:p>
        </w:tc>
        <w:tc>
          <w:tcPr>
            <w:tcW w:w="8940" w:type="dxa"/>
            <w:noWrap w:val="0"/>
            <w:vAlign w:val="center"/>
          </w:tcPr>
          <w:p w14:paraId="6803B6BA">
            <w:pPr>
              <w:pStyle w:val="12"/>
              <w:widowControl/>
              <w:autoSpaceDE/>
              <w:autoSpaceDN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kern w:val="21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32"/>
                <w:szCs w:val="32"/>
                <w:lang w:eastAsia="zh-CN"/>
              </w:rPr>
              <w:t>投标人报价得分＝（设备评标基准价/设备投标报价）×</w:t>
            </w:r>
            <w:r>
              <w:rPr>
                <w:rFonts w:hint="eastAsia" w:ascii="Times New Roman" w:hAnsi="Times New Roman" w:eastAsia="仿宋_GB2312" w:cs="Times New Roman"/>
                <w:kern w:val="21"/>
                <w:sz w:val="32"/>
                <w:szCs w:val="32"/>
                <w:lang w:val="en-US" w:eastAsia="zh-CN"/>
              </w:rPr>
              <w:t>40分</w:t>
            </w:r>
          </w:p>
        </w:tc>
      </w:tr>
    </w:tbl>
    <w:p w14:paraId="12944422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5AAF622D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26EBA8EB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2F243B9B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14433581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1E365A8F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0E01804E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72438E94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5EDDDA04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3C376594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0AE13460">
      <w:pPr>
        <w:pStyle w:val="12"/>
        <w:widowControl/>
        <w:autoSpaceDE/>
        <w:autoSpaceDN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综合比较与评价</w:t>
      </w:r>
    </w:p>
    <w:p w14:paraId="199F9134">
      <w:pPr>
        <w:pStyle w:val="12"/>
        <w:widowControl/>
        <w:autoSpaceDE/>
        <w:autoSpaceDN/>
        <w:adjustRightInd w:val="0"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每个投标人的综合得分按以下公式计算（每部分得分计算以四舍五入的方式精确到小数点后两位）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lang w:eastAsia="zh-CN"/>
        </w:rPr>
        <w:t>：</w:t>
      </w:r>
    </w:p>
    <w:p w14:paraId="05B6BE33">
      <w:pPr>
        <w:pStyle w:val="12"/>
        <w:widowControl/>
        <w:autoSpaceDE/>
        <w:autoSpaceDN/>
        <w:adjustRightInd w:val="0"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综合得分=商务技术得分+价格得分。</w:t>
      </w:r>
    </w:p>
    <w:p w14:paraId="178B5BE3">
      <w:pPr>
        <w:pStyle w:val="12"/>
        <w:widowControl/>
        <w:autoSpaceDE/>
        <w:autoSpaceDN/>
        <w:adjustRightInd w:val="0"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按综合得分从高到低依次列出各投标人排名（第一名、第二名…，出现综合总得分并列时，投标总价低的投标人名次靠前；若综合得分和投标总价都相同，按技术得分高的投标人名次靠前；若综合得分、投标总价和技术得分都相同，按商务得分高的投标人名次靠前；若综合得分、投标总价、技术得分和商务得分都相同，由全体评委投票确定名次）。</w:t>
      </w:r>
    </w:p>
    <w:p w14:paraId="4ABD4A2C">
      <w:pPr>
        <w:ind w:right="191" w:rightChars="91"/>
        <w:rPr>
          <w:rFonts w:hint="eastAsia" w:ascii="宋体" w:hAnsi="宋体"/>
          <w:color w:val="auto"/>
          <w:szCs w:val="21"/>
        </w:rPr>
      </w:pPr>
    </w:p>
    <w:sectPr>
      <w:pgSz w:w="16838" w:h="11906" w:orient="landscape"/>
      <w:pgMar w:top="612" w:right="930" w:bottom="612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YzIxMzYxMGI2ZDNjNDM5MTIzM2Y3ZWU0ZDVmZWEifQ=="/>
  </w:docVars>
  <w:rsids>
    <w:rsidRoot w:val="00000000"/>
    <w:rsid w:val="01ED14A1"/>
    <w:rsid w:val="029C2EE3"/>
    <w:rsid w:val="02E818B2"/>
    <w:rsid w:val="03525D35"/>
    <w:rsid w:val="0358051C"/>
    <w:rsid w:val="03B50F2A"/>
    <w:rsid w:val="04F217BD"/>
    <w:rsid w:val="058825A2"/>
    <w:rsid w:val="06825A02"/>
    <w:rsid w:val="077961C6"/>
    <w:rsid w:val="08C47661"/>
    <w:rsid w:val="08FF688F"/>
    <w:rsid w:val="090C3459"/>
    <w:rsid w:val="09285180"/>
    <w:rsid w:val="093B5A0A"/>
    <w:rsid w:val="09880BAD"/>
    <w:rsid w:val="099A2423"/>
    <w:rsid w:val="09DC3726"/>
    <w:rsid w:val="0BB91287"/>
    <w:rsid w:val="0BC323BB"/>
    <w:rsid w:val="0BE8391A"/>
    <w:rsid w:val="0DA20ACD"/>
    <w:rsid w:val="0E4A0AB5"/>
    <w:rsid w:val="10134CDE"/>
    <w:rsid w:val="114F4610"/>
    <w:rsid w:val="12AA36D7"/>
    <w:rsid w:val="13355D94"/>
    <w:rsid w:val="140E7288"/>
    <w:rsid w:val="141947EB"/>
    <w:rsid w:val="144D1B4E"/>
    <w:rsid w:val="1513044E"/>
    <w:rsid w:val="154A5E1E"/>
    <w:rsid w:val="15BE04AF"/>
    <w:rsid w:val="16A13043"/>
    <w:rsid w:val="17944956"/>
    <w:rsid w:val="17BD36A4"/>
    <w:rsid w:val="18CE3ACD"/>
    <w:rsid w:val="190D77DE"/>
    <w:rsid w:val="1A1D3346"/>
    <w:rsid w:val="1AC8619C"/>
    <w:rsid w:val="1C5D5C5E"/>
    <w:rsid w:val="1CDE446F"/>
    <w:rsid w:val="1D4D7B95"/>
    <w:rsid w:val="1DAD6772"/>
    <w:rsid w:val="1E596A77"/>
    <w:rsid w:val="1F092817"/>
    <w:rsid w:val="1F7312F5"/>
    <w:rsid w:val="2043260B"/>
    <w:rsid w:val="21370406"/>
    <w:rsid w:val="21DB7F9A"/>
    <w:rsid w:val="22717D6E"/>
    <w:rsid w:val="230C0884"/>
    <w:rsid w:val="236A72D8"/>
    <w:rsid w:val="253E6DD6"/>
    <w:rsid w:val="2580243D"/>
    <w:rsid w:val="25C61BCD"/>
    <w:rsid w:val="26771334"/>
    <w:rsid w:val="267B5DCF"/>
    <w:rsid w:val="26CF1507"/>
    <w:rsid w:val="27B506FD"/>
    <w:rsid w:val="2B754621"/>
    <w:rsid w:val="2BD15887"/>
    <w:rsid w:val="2ED00512"/>
    <w:rsid w:val="2FE46E2C"/>
    <w:rsid w:val="31270321"/>
    <w:rsid w:val="32310AEC"/>
    <w:rsid w:val="331D184C"/>
    <w:rsid w:val="342F34C5"/>
    <w:rsid w:val="34311A53"/>
    <w:rsid w:val="35360537"/>
    <w:rsid w:val="354B08F2"/>
    <w:rsid w:val="368E3395"/>
    <w:rsid w:val="36D11858"/>
    <w:rsid w:val="373846D7"/>
    <w:rsid w:val="39527C86"/>
    <w:rsid w:val="398B5931"/>
    <w:rsid w:val="3B1521D1"/>
    <w:rsid w:val="3B7A5A8D"/>
    <w:rsid w:val="3B906664"/>
    <w:rsid w:val="3C365867"/>
    <w:rsid w:val="3D2B2DB7"/>
    <w:rsid w:val="3DCC606F"/>
    <w:rsid w:val="3F0312C2"/>
    <w:rsid w:val="401B6382"/>
    <w:rsid w:val="40A869C3"/>
    <w:rsid w:val="412B7AC6"/>
    <w:rsid w:val="42431578"/>
    <w:rsid w:val="42595F30"/>
    <w:rsid w:val="42F845D2"/>
    <w:rsid w:val="46D4101D"/>
    <w:rsid w:val="48DA004C"/>
    <w:rsid w:val="48DE5F2F"/>
    <w:rsid w:val="49D114CE"/>
    <w:rsid w:val="4B6871A5"/>
    <w:rsid w:val="4B9B786A"/>
    <w:rsid w:val="4C991B0E"/>
    <w:rsid w:val="4D0248D8"/>
    <w:rsid w:val="4E083533"/>
    <w:rsid w:val="4FCA7A77"/>
    <w:rsid w:val="51DF3D03"/>
    <w:rsid w:val="51F62A96"/>
    <w:rsid w:val="51F76707"/>
    <w:rsid w:val="52BC6E98"/>
    <w:rsid w:val="538E76FD"/>
    <w:rsid w:val="53E43F94"/>
    <w:rsid w:val="54E35FFA"/>
    <w:rsid w:val="54F473B3"/>
    <w:rsid w:val="55A5346D"/>
    <w:rsid w:val="561C6CEB"/>
    <w:rsid w:val="568B2242"/>
    <w:rsid w:val="56F42E3D"/>
    <w:rsid w:val="571409B8"/>
    <w:rsid w:val="573D70C9"/>
    <w:rsid w:val="59EE791A"/>
    <w:rsid w:val="5BA52D78"/>
    <w:rsid w:val="5BD32D6E"/>
    <w:rsid w:val="5BF168B6"/>
    <w:rsid w:val="5C114754"/>
    <w:rsid w:val="5C301AFF"/>
    <w:rsid w:val="5CBC3D00"/>
    <w:rsid w:val="5D9C143B"/>
    <w:rsid w:val="5E940365"/>
    <w:rsid w:val="5FEB01D5"/>
    <w:rsid w:val="606F03C5"/>
    <w:rsid w:val="60A8634C"/>
    <w:rsid w:val="61AC02A1"/>
    <w:rsid w:val="61E37639"/>
    <w:rsid w:val="61FC0784"/>
    <w:rsid w:val="625247BE"/>
    <w:rsid w:val="63D531EF"/>
    <w:rsid w:val="64373C6C"/>
    <w:rsid w:val="64CD31C5"/>
    <w:rsid w:val="65C248FD"/>
    <w:rsid w:val="65FD5FE8"/>
    <w:rsid w:val="69C77840"/>
    <w:rsid w:val="6AF64881"/>
    <w:rsid w:val="6B3C534C"/>
    <w:rsid w:val="6BAC33A3"/>
    <w:rsid w:val="6C1B01C7"/>
    <w:rsid w:val="6D040B8C"/>
    <w:rsid w:val="6E1A74E4"/>
    <w:rsid w:val="6EA514DC"/>
    <w:rsid w:val="6EBA7DBD"/>
    <w:rsid w:val="6F335423"/>
    <w:rsid w:val="70F112A2"/>
    <w:rsid w:val="71AA2C4E"/>
    <w:rsid w:val="723E0597"/>
    <w:rsid w:val="72BF541A"/>
    <w:rsid w:val="74AF5AA0"/>
    <w:rsid w:val="74DB6895"/>
    <w:rsid w:val="7515254A"/>
    <w:rsid w:val="753D0DF1"/>
    <w:rsid w:val="755159DE"/>
    <w:rsid w:val="7786611D"/>
    <w:rsid w:val="77BA1111"/>
    <w:rsid w:val="77C94BEC"/>
    <w:rsid w:val="786F6D38"/>
    <w:rsid w:val="7A574472"/>
    <w:rsid w:val="7B4A02D1"/>
    <w:rsid w:val="7BDB271D"/>
    <w:rsid w:val="7C016BE2"/>
    <w:rsid w:val="7C320365"/>
    <w:rsid w:val="7C7575D0"/>
    <w:rsid w:val="7F46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1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widowControl w:val="0"/>
      <w:jc w:val="both"/>
    </w:pPr>
    <w:rPr>
      <w:kern w:val="2"/>
      <w:sz w:val="28"/>
    </w:rPr>
  </w:style>
  <w:style w:type="paragraph" w:customStyle="1" w:styleId="7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表格文字"/>
    <w:basedOn w:val="1"/>
    <w:next w:val="6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9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10">
    <w:name w:val="toc 5"/>
    <w:basedOn w:val="1"/>
    <w:next w:val="1"/>
    <w:autoRedefine/>
    <w:qFormat/>
    <w:uiPriority w:val="39"/>
    <w:pPr>
      <w:widowControl w:val="0"/>
      <w:ind w:left="1680"/>
      <w:jc w:val="both"/>
    </w:pPr>
    <w:rPr>
      <w:kern w:val="2"/>
    </w:r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2">
    <w:name w:val="Normal (Web)"/>
    <w:basedOn w:val="1"/>
    <w:semiHidden/>
    <w:unhideWhenUsed/>
    <w:qFormat/>
    <w:uiPriority w:val="99"/>
    <w:rPr>
      <w:sz w:val="24"/>
    </w:rPr>
  </w:style>
  <w:style w:type="paragraph" w:styleId="13">
    <w:name w:val="index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14">
    <w:name w:val="Body Text First Indent"/>
    <w:basedOn w:val="6"/>
    <w:next w:val="15"/>
    <w:qFormat/>
    <w:uiPriority w:val="0"/>
    <w:pPr>
      <w:adjustRightInd w:val="0"/>
      <w:spacing w:after="120" w:afterLines="0" w:line="240" w:lineRule="atLeast"/>
      <w:ind w:firstLine="420" w:firstLineChars="100"/>
      <w:jc w:val="left"/>
    </w:pPr>
    <w:rPr>
      <w:kern w:val="0"/>
      <w:sz w:val="24"/>
      <w:szCs w:val="24"/>
    </w:rPr>
  </w:style>
  <w:style w:type="paragraph" w:styleId="15">
    <w:name w:val="Body Text First Indent 2"/>
    <w:basedOn w:val="9"/>
    <w:next w:val="1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List Paragraph"/>
    <w:basedOn w:val="1"/>
    <w:autoRedefine/>
    <w:qFormat/>
    <w:uiPriority w:val="0"/>
    <w:pPr>
      <w:spacing w:line="360" w:lineRule="auto"/>
      <w:ind w:firstLine="200" w:firstLineChars="200"/>
    </w:pPr>
    <w:rPr>
      <w:rFonts w:eastAsia="楷体_GB2312" w:cs="Lucida Sans"/>
      <w:szCs w:val="24"/>
    </w:rPr>
  </w:style>
  <w:style w:type="character" w:customStyle="1" w:styleId="20">
    <w:name w:val="font11"/>
    <w:basedOn w:val="18"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21">
    <w:name w:val="NormalCharacter"/>
    <w:link w:val="1"/>
    <w:semiHidden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2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3210</Words>
  <Characters>3341</Characters>
  <Lines>0</Lines>
  <Paragraphs>0</Paragraphs>
  <TotalTime>2</TotalTime>
  <ScaleCrop>false</ScaleCrop>
  <LinksUpToDate>false</LinksUpToDate>
  <CharactersWithSpaces>3472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2022-08-19T01:48:00Z</dcterms:created>
  <dc:creator>Administrator.HK-202107272243</dc:creator>
  <cp:lastModifiedBy>Miki</cp:lastModifiedBy>
  <cp:lastPrinted>2023-09-27T05:01:00Z</cp:lastPrinted>
  <dcterms:modified xsi:type="dcterms:W3CDTF">2025-08-15T04:02:53Z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AA1151DAF6FE4F38A86660E8FF2BFCAA_13</vt:lpwstr>
  </property>
  <property fmtid="{D5CDD505-2E9C-101B-9397-08002B2CF9AE}" pid="4" name="KSOTemplateDocerSaveRecord">
    <vt:lpwstr>eyJoZGlkIjoiYTFlNzc2ZDNkNzNiNjk5N2M4ZGNlYWI3NTE5NzdmNTkiLCJ1c2VySWQiOiIyNzIzNzAxMTYifQ==</vt:lpwstr>
  </property>
</Properties>
</file>