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4AF3">
      <w:pPr>
        <w:pStyle w:val="19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 w:bidi="ar-SA"/>
        </w:rPr>
        <w:t>资格性和符合性审查</w:t>
      </w:r>
    </w:p>
    <w:p w14:paraId="14D708E8">
      <w:pPr>
        <w:pStyle w:val="19"/>
        <w:ind w:firstLine="720" w:firstLineChars="3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项目编号：</w:t>
      </w:r>
    </w:p>
    <w:tbl>
      <w:tblPr>
        <w:tblStyle w:val="16"/>
        <w:tblW w:w="13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267"/>
        <w:gridCol w:w="1159"/>
        <w:gridCol w:w="1159"/>
        <w:gridCol w:w="1159"/>
      </w:tblGrid>
      <w:tr w14:paraId="5E14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▲请各响应供应商严格按下表提供资格文件，若资格审查不通过无法进入下一步评审！</w:t>
            </w:r>
          </w:p>
        </w:tc>
      </w:tr>
      <w:tr w14:paraId="6006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审查项目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审查结论</w:t>
            </w:r>
          </w:p>
        </w:tc>
      </w:tr>
      <w:tr w14:paraId="3839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21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5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A公司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B公司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C公司</w:t>
            </w:r>
          </w:p>
        </w:tc>
      </w:tr>
      <w:tr w14:paraId="34DD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响应供应商应具备《中华人民共和国政府采购法》第二十二条规定的条件（提供承诺函）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49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CE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C1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B4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具有良好的商业信誉，供应商未被列入“信用中国”网站(www.creditchina.gov.cn)“记录失信被执行人或重大税收违法案件当事人名单”记录名单；不处于中国政府采购网(www.ccgp.gov.cn)“政府采购严重违法失信行为信息记录”中的禁止参加政府采购活动期间。以评审前一周内在“信用中国”网站（www.creditchina.gov.cn）及中国政府采购网（http://www.ccgp.gov.cn/）查询结果为准，如相关失信记录已失效，供应商需提供相关证明资料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42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C5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F3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92C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6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提供经营资质证明、生产许可证等复印件并加盖公章。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11E6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32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7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FB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本项目不接受联合体投标，不允许分包转包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（提供承诺函）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F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E1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24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EE5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C6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9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39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F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65632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打“×”的原因详细说明：</w:t>
            </w:r>
          </w:p>
        </w:tc>
      </w:tr>
    </w:tbl>
    <w:p w14:paraId="714C6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</w:p>
    <w:p w14:paraId="54425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每一项符合的打</w:t>
      </w:r>
      <w:r>
        <w:rPr>
          <w:rFonts w:hint="eastAsia" w:ascii="仿宋_GB2312" w:hAnsi="仿宋_GB2312" w:eastAsia="仿宋_GB2312" w:cs="仿宋_GB2312"/>
          <w:sz w:val="24"/>
          <w:szCs w:val="24"/>
        </w:rPr>
        <w:t>“〇”，不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符合的打</w:t>
      </w:r>
      <w:r>
        <w:rPr>
          <w:rFonts w:hint="eastAsia" w:ascii="仿宋_GB2312" w:hAnsi="仿宋_GB2312" w:eastAsia="仿宋_GB2312" w:cs="仿宋_GB2312"/>
          <w:sz w:val="24"/>
          <w:szCs w:val="24"/>
        </w:rPr>
        <w:t>“×”。出现一个“×”的结论为不通过。</w:t>
      </w:r>
    </w:p>
    <w:p w14:paraId="062CC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表中全部条件满足为通过,同意进入下一阶段评议。</w:t>
      </w:r>
    </w:p>
    <w:p w14:paraId="6F07A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评审项目全部合格方可视为通过符合性审查，在“结论”栏中填写“符合”，否则为“不符合”。</w:t>
      </w:r>
    </w:p>
    <w:p w14:paraId="7AD068C8">
      <w:pPr>
        <w:pStyle w:val="7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C07BCB">
      <w:pPr>
        <w:pStyle w:val="1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9A8787E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审查专家签名：                                               日期：</w:t>
      </w:r>
    </w:p>
    <w:p w14:paraId="43F93C73">
      <w:pPr>
        <w:pStyle w:val="15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1A9AE2BE">
      <w:pPr>
        <w:tabs>
          <w:tab w:val="decimal" w:pos="315"/>
          <w:tab w:val="left" w:pos="630"/>
        </w:tabs>
        <w:jc w:val="center"/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/>
        </w:rPr>
        <w:t>商务技术评分表</w:t>
      </w:r>
    </w:p>
    <w:tbl>
      <w:tblPr>
        <w:tblStyle w:val="16"/>
        <w:tblpPr w:leftFromText="180" w:rightFromText="180" w:vertAnchor="text" w:horzAnchor="page" w:tblpX="1530" w:tblpY="368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10"/>
        <w:gridCol w:w="1220"/>
        <w:gridCol w:w="11280"/>
      </w:tblGrid>
      <w:tr w14:paraId="6B5C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80" w:type="dxa"/>
            <w:noWrap w:val="0"/>
            <w:vAlign w:val="center"/>
          </w:tcPr>
          <w:p w14:paraId="2FAD7DDD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  <w:t>序号</w:t>
            </w:r>
          </w:p>
        </w:tc>
        <w:tc>
          <w:tcPr>
            <w:tcW w:w="1210" w:type="dxa"/>
            <w:noWrap w:val="0"/>
            <w:vAlign w:val="center"/>
          </w:tcPr>
          <w:p w14:paraId="506724B9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  <w:t>评审项目</w:t>
            </w:r>
          </w:p>
        </w:tc>
        <w:tc>
          <w:tcPr>
            <w:tcW w:w="1220" w:type="dxa"/>
            <w:noWrap w:val="0"/>
            <w:vAlign w:val="center"/>
          </w:tcPr>
          <w:p w14:paraId="690A5FE2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  <w:lang w:val="en-US" w:eastAsia="zh-CN"/>
              </w:rPr>
              <w:t>分配分数</w:t>
            </w:r>
          </w:p>
        </w:tc>
        <w:tc>
          <w:tcPr>
            <w:tcW w:w="11280" w:type="dxa"/>
            <w:noWrap w:val="0"/>
            <w:vAlign w:val="center"/>
          </w:tcPr>
          <w:p w14:paraId="251E9BFA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  <w:t>评分范围</w:t>
            </w:r>
          </w:p>
        </w:tc>
      </w:tr>
      <w:tr w14:paraId="0AAE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C9EA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C10C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商务响应</w:t>
            </w:r>
          </w:p>
          <w:p w14:paraId="2A5666D2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程度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935D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05FD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考核投标人对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本采购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文件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附件2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商务要求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”中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的主要商务要求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所有条款的响应程度（每条条款最小一级序号均以一项计算）：全部响应得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分，有1项条款为负偏离或不响应，得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分；有2项条款为负偏离或不响应，得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以此类推。</w:t>
            </w:r>
          </w:p>
        </w:tc>
      </w:tr>
      <w:tr w14:paraId="294A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BB15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FDA9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企业资质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500A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FA50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1.质量管理体系认证证书（1分）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3BBEC7B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2.环境管理体系认证（1分）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274EFF96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3.职业健康安全管理体系证书（1分）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D6D6BBB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注: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或所投设备生产厂家有效期内的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证书复印件并加盖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的公章，满分3分，不提供不得分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552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E81A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2CC0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用户需求中技术条款的响应情况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07AD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6F59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考核投标人对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附件2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参数需求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的响应程度（每条条款序号均以一项计算）。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1.完全响应技术要求的得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分；</w:t>
            </w:r>
          </w:p>
          <w:p w14:paraId="1BC1D4DF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2.“▲”条款参数每负偏离一项扣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分，扣完为止；</w:t>
            </w:r>
          </w:p>
          <w:p w14:paraId="5E6536D5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3.非“▲”条款参数每负偏离一项扣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分，扣完为止。</w:t>
            </w:r>
          </w:p>
          <w:p w14:paraId="294B8432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注：1）评审依据以投标人投标文件中响应表填写内容为准，未填写的视为负偏离。投标文件中必须提供不限于原厂彩页证明文件、技术白皮书、产品功能界面截图、检测报告等可证实参数真实有效性的产品技术支持文件。所提供的支持文件应包括所有参数，并有清晰的说明，如评标委员会无法从所提供资料中判断参数是否符合要求的，视为负偏离。</w:t>
            </w:r>
          </w:p>
          <w:p w14:paraId="624D56A5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2）如采购需求中有明确要求提供具体证明资料的，必须按采购需求单独（额外）提供。</w:t>
            </w:r>
          </w:p>
          <w:p w14:paraId="608B5BAC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3）以上要求，供应商无提供或未按要求提供材料的得0分。</w:t>
            </w:r>
          </w:p>
        </w:tc>
      </w:tr>
      <w:tr w14:paraId="7F71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4941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0B60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安装、检测、验收计划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3396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E7A5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评委对各投标人提供的安装、检测、验收计划进行评审。</w:t>
            </w:r>
          </w:p>
          <w:p w14:paraId="28C14947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安装、检测、验收计划条理清晰，脉络分明，操作性强，人性化，能体现以人为本、服务至上的售后理念，得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07A65CB6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安装、检测、验收计划条理较清晰，脉络较分明，操作性较强，能体现以人为本、服务至上的售后理念，得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67499CF4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安装、检测、验收计划条理一般，脉络一般，操作性一般，不能体现以人为本、服务至上的售后理念，得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753C7BC4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安装、检测、验收计划条理模糊，脉络不分明，操作性差，不能体现以人为本、服务至上的售后理念，得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48B72D9C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相关内容，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得0分。</w:t>
            </w:r>
          </w:p>
        </w:tc>
      </w:tr>
      <w:tr w14:paraId="4920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64ED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C137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</w:t>
            </w:r>
          </w:p>
          <w:p w14:paraId="73ABD46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方案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56C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860E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评委对各投标人提供的培训计划方案进行评审，培训内容应包含本次设备项目。</w:t>
            </w:r>
          </w:p>
          <w:p w14:paraId="647A3B5F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培训计划方案能针对项目具体内容展开，分别对操作人员及维护人员提供操作培训及维护培训，方案可行性非常强，能在项目履约进度计划时间安排内完成培训计划，操作人员及维护人员能快速熟练掌握，得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4E840B71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培训计划方案能针对项目具体内容展开，分别对操作人员及维护人员提供操作培训及维护培训，方案可行性比较强，能在项目履约进度计划时间安排内完成培训计划，操作人员及维护人员比较能熟练掌握，得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2B299B9F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培训计划方案能针对项目具体内容展开，分别对操作人员及维护人员提供操作培训及维护培训，方案可行性一般，勉强能在项目履约进度计划时间安排内完成培训计划，操作人员及维护人员不太能熟练掌握，得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790A17AB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培训计划方案没有针对项目具体内容展开，没有对操作人员及维护人员提供操作培训及维护培训，方案可行性差，不能在项目履约进度计划时间安排内完成培训计划，操作人员及维护人员不能熟练掌握，得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61658BF4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未提供方案，得0分。</w:t>
            </w:r>
          </w:p>
        </w:tc>
      </w:tr>
      <w:tr w14:paraId="307E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A3CE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30E7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售后及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应急措施方案 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B33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39AE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评委对各投标人服务响应、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售后及应急措施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方案（含服务响应时间、处理问题能力、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售后、应急方案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等）进行评审。</w:t>
            </w:r>
          </w:p>
          <w:p w14:paraId="169B4C6E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服务响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应时间满足或优于招标文件要求；有详细具体可行的保修、维护、服务、技术支持措施计划和承诺，处理问题能力强，售后及保修期内的服务方案优；应急措施方案好，考虑情况全面，非常周全、详尽、可行，得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5A5E6A7D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服务响应时间满足招标文件要求；有比较详细具体可行的保修、维护、服务、技术支持措施计划和承诺，售后及保修期内的服务方案较好；应急措施方案较好，考虑情况较全面，比较周全、详尽、可行，得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787C7942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服务响应时间满足招标文件要求；保修、维护、服务、技术支持措施计划和承诺可行性一般，售后及保修期内的服务方案一般； 应急措施方案一般，考虑情况一般，可行性一般，得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44E71D3D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服务响应时间未能满足招标文件要求；保修、维护、服务、技术 支持措施计划和承诺不太可行，售后及保修期内的服务方案不够具体；应急措施方案考虑情况不太周全，处理措施不够完善，不太可行，得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25355048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提供方案，得0分。</w:t>
            </w:r>
          </w:p>
        </w:tc>
      </w:tr>
      <w:tr w14:paraId="67F6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2DE9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06A6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方案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3275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49CF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评委对各投标人提供的保障项目按期完成的具体措施方案进行评审。</w:t>
            </w:r>
          </w:p>
          <w:p w14:paraId="4D77BACD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保障项目按期完成的具体措施方案，方案好，工作安排合理、完善，管理科学规范，得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13EC8C35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保障项目按期完成的具体措施方案一般，工作安排一般，管理一般，得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1C2E6DA4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，工作安排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1D89452E"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未提供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方案，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得0分。</w:t>
            </w:r>
          </w:p>
        </w:tc>
      </w:tr>
      <w:tr w14:paraId="5B1D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A9D18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5CA5A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同类项目</w:t>
            </w:r>
          </w:p>
          <w:p w14:paraId="12E06F54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业绩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9EEB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372BC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评标委员会应根据投标人提供的《业绩情况一览表》进行评审：</w:t>
            </w:r>
          </w:p>
          <w:p w14:paraId="6456D630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2021年1月1日以来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投标人承接的同类项目业绩，每提供一个项目业绩得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分，最多得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  <w:p w14:paraId="60486151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注：（1）投标文件中提供加盖投标人公章并签字（或盖私章）的《业绩情况一览表》，同时还须提供加盖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人公章的业绩合同关键页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复印件（关键页内容必须清晰阐明项目名称、双方单位名称、合同履行主要内容），未按要求提供的不得分；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(2)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《业绩情况一览表》的格式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自拟，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《业绩情况一览表》中“项目名称、业主名称、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签约时间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”为必填项，漏填得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 。（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）未列入《业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绩情况一览表》的业绩，得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</w:tc>
      </w:tr>
      <w:tr w14:paraId="0553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CC3A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1EA3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合  计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3D6D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/>
              </w:rPr>
              <w:t>60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327C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</w:tbl>
    <w:p w14:paraId="563B490C">
      <w:pPr>
        <w:pStyle w:val="15"/>
        <w:ind w:left="0" w:leftChars="0" w:firstLine="0" w:firstLineChars="0"/>
        <w:rPr>
          <w:rFonts w:hint="eastAsia" w:ascii="宋体" w:hAnsi="宋体" w:eastAsia="宋体" w:cs="宋体"/>
          <w:b/>
          <w:sz w:val="18"/>
          <w:szCs w:val="18"/>
        </w:rPr>
      </w:pPr>
    </w:p>
    <w:p w14:paraId="7C1D56C6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价格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评审</w:t>
      </w:r>
      <w:r>
        <w:rPr>
          <w:rFonts w:hint="eastAsia" w:eastAsia="仿宋_GB2312" w:cs="Times New Roman"/>
          <w:kern w:val="2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  <w:t>价格得分满分为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val="en-US"/>
        </w:rPr>
        <w:t>40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  <w:t>分</w:t>
      </w:r>
      <w:r>
        <w:rPr>
          <w:rFonts w:hint="eastAsia" w:eastAsia="仿宋_GB2312" w:cs="Times New Roman"/>
          <w:kern w:val="21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：</w:t>
      </w:r>
    </w:p>
    <w:p w14:paraId="1443C4EC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  <w:t>评标基准价为满足招标文件要求且价格最低的投标报价。</w:t>
      </w:r>
    </w:p>
    <w:p w14:paraId="2E817DC6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投标人价格得分=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kern w:val="21"/>
          <w:sz w:val="32"/>
          <w:szCs w:val="32"/>
          <w:highlight w:val="none"/>
          <w:lang w:eastAsia="zh-CN"/>
        </w:rPr>
        <w:t>设备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eastAsia="zh-CN"/>
        </w:rPr>
        <w:t>评标基准价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eastAsia="zh-CN"/>
        </w:rPr>
        <w:t>设备投标报价）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*</w:t>
      </w:r>
      <w:r>
        <w:rPr>
          <w:rFonts w:hint="eastAsia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eastAsia="zh-CN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（保留小数点后2位，四舍五入）。</w:t>
      </w:r>
    </w:p>
    <w:p w14:paraId="42BF5653">
      <w:pPr>
        <w:jc w:val="center"/>
        <w:rPr>
          <w:rFonts w:hint="eastAsia" w:ascii="方正小标宋_GBK" w:hAnsi="方正小标宋_GBK" w:eastAsia="方正小标宋_GBK" w:cs="方正小标宋_GBK"/>
          <w:b w:val="0"/>
          <w:iCs w:val="0"/>
          <w:kern w:val="21"/>
          <w:sz w:val="36"/>
          <w:szCs w:val="36"/>
          <w:highlight w:val="none"/>
          <w:lang w:val="en-US" w:eastAsia="zh-CN"/>
        </w:rPr>
      </w:pPr>
    </w:p>
    <w:p w14:paraId="41B6F5E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iCs w:val="0"/>
          <w:kern w:val="21"/>
          <w:sz w:val="36"/>
          <w:szCs w:val="36"/>
          <w:highlight w:val="none"/>
          <w:lang w:val="en-US" w:eastAsia="zh-CN"/>
        </w:rPr>
        <w:t>价格</w:t>
      </w:r>
      <w:r>
        <w:rPr>
          <w:rFonts w:hint="eastAsia" w:ascii="方正小标宋_GBK" w:hAnsi="方正小标宋_GBK" w:eastAsia="方正小标宋_GBK" w:cs="方正小标宋_GBK"/>
          <w:b w:val="0"/>
          <w:iCs w:val="0"/>
          <w:kern w:val="21"/>
          <w:sz w:val="36"/>
          <w:szCs w:val="36"/>
          <w:highlight w:val="none"/>
        </w:rPr>
        <w:t>评分表</w:t>
      </w:r>
    </w:p>
    <w:tbl>
      <w:tblPr>
        <w:tblStyle w:val="16"/>
        <w:tblpPr w:leftFromText="180" w:rightFromText="180" w:vertAnchor="text" w:horzAnchor="page" w:tblpXSpec="center" w:tblpY="334"/>
        <w:tblOverlap w:val="never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879"/>
        <w:gridCol w:w="1390"/>
        <w:gridCol w:w="8940"/>
      </w:tblGrid>
      <w:tr w14:paraId="668F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46" w:type="dxa"/>
            <w:noWrap w:val="0"/>
            <w:vAlign w:val="center"/>
          </w:tcPr>
          <w:p w14:paraId="59E11A4E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  <w:t>序号</w:t>
            </w:r>
          </w:p>
        </w:tc>
        <w:tc>
          <w:tcPr>
            <w:tcW w:w="1879" w:type="dxa"/>
            <w:noWrap w:val="0"/>
            <w:vAlign w:val="center"/>
          </w:tcPr>
          <w:p w14:paraId="3808986C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  <w:t>评审项目</w:t>
            </w:r>
          </w:p>
        </w:tc>
        <w:tc>
          <w:tcPr>
            <w:tcW w:w="1390" w:type="dxa"/>
            <w:noWrap w:val="0"/>
            <w:vAlign w:val="center"/>
          </w:tcPr>
          <w:p w14:paraId="14AB48AA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  <w:lang w:eastAsia="zh-CN"/>
              </w:rPr>
              <w:t>分配分数</w:t>
            </w:r>
          </w:p>
        </w:tc>
        <w:tc>
          <w:tcPr>
            <w:tcW w:w="8940" w:type="dxa"/>
            <w:noWrap w:val="0"/>
            <w:vAlign w:val="center"/>
          </w:tcPr>
          <w:p w14:paraId="74FDAC71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  <w:lang w:val="en-US" w:eastAsia="zh-CN"/>
              </w:rPr>
              <w:t>评审标准</w:t>
            </w:r>
          </w:p>
        </w:tc>
      </w:tr>
      <w:tr w14:paraId="59A9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146" w:type="dxa"/>
            <w:noWrap w:val="0"/>
            <w:vAlign w:val="center"/>
          </w:tcPr>
          <w:p w14:paraId="5C8FCB0B">
            <w:pPr>
              <w:pStyle w:val="12"/>
              <w:widowControl/>
              <w:autoSpaceDE/>
              <w:autoSpaceDN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32"/>
                <w:szCs w:val="32"/>
              </w:rPr>
              <w:t>1</w:t>
            </w:r>
          </w:p>
        </w:tc>
        <w:tc>
          <w:tcPr>
            <w:tcW w:w="1879" w:type="dxa"/>
            <w:noWrap w:val="0"/>
            <w:vAlign w:val="center"/>
          </w:tcPr>
          <w:p w14:paraId="2D34066E">
            <w:pPr>
              <w:pStyle w:val="12"/>
              <w:widowControl/>
              <w:autoSpaceDE/>
              <w:autoSpaceDN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  <w:t>价格得分</w:t>
            </w:r>
          </w:p>
        </w:tc>
        <w:tc>
          <w:tcPr>
            <w:tcW w:w="1390" w:type="dxa"/>
            <w:noWrap w:val="0"/>
            <w:vAlign w:val="center"/>
          </w:tcPr>
          <w:p w14:paraId="080AE74F">
            <w:pPr>
              <w:pStyle w:val="12"/>
              <w:widowControl/>
              <w:autoSpaceDE/>
              <w:autoSpaceDN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  <w:t>40分</w:t>
            </w:r>
          </w:p>
        </w:tc>
        <w:tc>
          <w:tcPr>
            <w:tcW w:w="8940" w:type="dxa"/>
            <w:noWrap w:val="0"/>
            <w:vAlign w:val="center"/>
          </w:tcPr>
          <w:p w14:paraId="6803B6BA">
            <w:pPr>
              <w:pStyle w:val="12"/>
              <w:widowControl/>
              <w:autoSpaceDE/>
              <w:autoSpaceDN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eastAsia="zh-CN"/>
              </w:rPr>
              <w:t>投标人报价得分＝（设备评标基准价/设备投标报价）×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  <w:t>40分</w:t>
            </w:r>
          </w:p>
        </w:tc>
      </w:tr>
    </w:tbl>
    <w:p w14:paraId="12944422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5AAF622D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26EBA8EB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2F243B9B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14433581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1E365A8F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0E01804E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72438E94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5EDDDA04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3C376594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0AE13460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综合比较与评价</w:t>
      </w:r>
    </w:p>
    <w:p w14:paraId="199F9134">
      <w:pPr>
        <w:pStyle w:val="12"/>
        <w:widowControl/>
        <w:autoSpaceDE/>
        <w:autoSpaceDN/>
        <w:adjustRightInd w:val="0"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每个投标人的综合得分按以下公式计算（每部分得分计算以四舍五入的方式精确到小数点后两位）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：</w:t>
      </w:r>
    </w:p>
    <w:p w14:paraId="05B6BE33">
      <w:pPr>
        <w:pStyle w:val="12"/>
        <w:widowControl/>
        <w:autoSpaceDE/>
        <w:autoSpaceDN/>
        <w:adjustRightInd w:val="0"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综合得分=商务技术得分+价格得分。</w:t>
      </w:r>
    </w:p>
    <w:p w14:paraId="178B5BE3">
      <w:pPr>
        <w:pStyle w:val="12"/>
        <w:widowControl/>
        <w:autoSpaceDE/>
        <w:autoSpaceDN/>
        <w:adjustRightInd w:val="0"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按综合得分从高到低依次列出各投标人排名（第一名、第二名…，出现综合总得分并列时，投标总价低的投标人名次靠前；若综合得分和投标总价都相同，按技术得分高的投标人名次靠前；若综合得分、投标总价和技术得分都相同，按商务得分高的投标人名次靠前；若综合得分、投标总价、技术得分和商务得分都相同，由全体评委投票确定名次）。</w:t>
      </w:r>
    </w:p>
    <w:p w14:paraId="4ABD4A2C">
      <w:pPr>
        <w:ind w:right="191" w:rightChars="91"/>
        <w:rPr>
          <w:rFonts w:hint="eastAsia" w:ascii="宋体" w:hAnsi="宋体"/>
          <w:color w:val="auto"/>
          <w:szCs w:val="21"/>
        </w:rPr>
      </w:pPr>
    </w:p>
    <w:sectPr>
      <w:pgSz w:w="16838" w:h="11906" w:orient="landscape"/>
      <w:pgMar w:top="612" w:right="930" w:bottom="612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zIxMzYxMGI2ZDNjNDM5MTIzM2Y3ZWU0ZDVmZWEifQ=="/>
  </w:docVars>
  <w:rsids>
    <w:rsidRoot w:val="00000000"/>
    <w:rsid w:val="01B36BD0"/>
    <w:rsid w:val="01ED14A1"/>
    <w:rsid w:val="029C2EE3"/>
    <w:rsid w:val="02E818B2"/>
    <w:rsid w:val="03525D35"/>
    <w:rsid w:val="0358051C"/>
    <w:rsid w:val="03B50F2A"/>
    <w:rsid w:val="048A165D"/>
    <w:rsid w:val="04F217BD"/>
    <w:rsid w:val="055B46E3"/>
    <w:rsid w:val="058825A2"/>
    <w:rsid w:val="06825A02"/>
    <w:rsid w:val="077961C6"/>
    <w:rsid w:val="08C47661"/>
    <w:rsid w:val="08FF688F"/>
    <w:rsid w:val="090C3459"/>
    <w:rsid w:val="09285180"/>
    <w:rsid w:val="093B5A0A"/>
    <w:rsid w:val="09880BAD"/>
    <w:rsid w:val="099A2423"/>
    <w:rsid w:val="09DC3726"/>
    <w:rsid w:val="09E40D28"/>
    <w:rsid w:val="09FB55B8"/>
    <w:rsid w:val="0ACF0758"/>
    <w:rsid w:val="0BB91287"/>
    <w:rsid w:val="0BC323BB"/>
    <w:rsid w:val="0BE8391A"/>
    <w:rsid w:val="0DA20ACD"/>
    <w:rsid w:val="0E4A0AB5"/>
    <w:rsid w:val="10134CDE"/>
    <w:rsid w:val="114F4610"/>
    <w:rsid w:val="12AA36D7"/>
    <w:rsid w:val="13355D94"/>
    <w:rsid w:val="140E7288"/>
    <w:rsid w:val="141947EB"/>
    <w:rsid w:val="144D1B4E"/>
    <w:rsid w:val="1513044E"/>
    <w:rsid w:val="154A5E1E"/>
    <w:rsid w:val="15BE04AF"/>
    <w:rsid w:val="15EA7E4F"/>
    <w:rsid w:val="16691F8F"/>
    <w:rsid w:val="16A13043"/>
    <w:rsid w:val="17944956"/>
    <w:rsid w:val="17BD36A4"/>
    <w:rsid w:val="18CE3ACD"/>
    <w:rsid w:val="190D77DE"/>
    <w:rsid w:val="1A1D3346"/>
    <w:rsid w:val="1AC8619C"/>
    <w:rsid w:val="1B267FBB"/>
    <w:rsid w:val="1C5D5C5E"/>
    <w:rsid w:val="1CDE446F"/>
    <w:rsid w:val="1D4D7B95"/>
    <w:rsid w:val="1DAD6772"/>
    <w:rsid w:val="1E596A77"/>
    <w:rsid w:val="1F092817"/>
    <w:rsid w:val="1F7312F5"/>
    <w:rsid w:val="1FAB465C"/>
    <w:rsid w:val="2043260B"/>
    <w:rsid w:val="21370406"/>
    <w:rsid w:val="21DB7F9A"/>
    <w:rsid w:val="22717D6E"/>
    <w:rsid w:val="230C0884"/>
    <w:rsid w:val="236A72D8"/>
    <w:rsid w:val="253E6DD6"/>
    <w:rsid w:val="2580243D"/>
    <w:rsid w:val="25C61BCD"/>
    <w:rsid w:val="26771334"/>
    <w:rsid w:val="267B5DCF"/>
    <w:rsid w:val="26CF1507"/>
    <w:rsid w:val="27B506FD"/>
    <w:rsid w:val="2B12230A"/>
    <w:rsid w:val="2B754621"/>
    <w:rsid w:val="2BD15887"/>
    <w:rsid w:val="2ED00512"/>
    <w:rsid w:val="2FE46E2C"/>
    <w:rsid w:val="31270321"/>
    <w:rsid w:val="31A54044"/>
    <w:rsid w:val="32310AEC"/>
    <w:rsid w:val="32D700C1"/>
    <w:rsid w:val="331B3C9E"/>
    <w:rsid w:val="331D184C"/>
    <w:rsid w:val="33CB37E1"/>
    <w:rsid w:val="342F34C5"/>
    <w:rsid w:val="34311A53"/>
    <w:rsid w:val="35360537"/>
    <w:rsid w:val="354B08F2"/>
    <w:rsid w:val="368E3395"/>
    <w:rsid w:val="36D11858"/>
    <w:rsid w:val="373846D7"/>
    <w:rsid w:val="37763EF4"/>
    <w:rsid w:val="38FD63A7"/>
    <w:rsid w:val="39527C86"/>
    <w:rsid w:val="398B5931"/>
    <w:rsid w:val="3B1521D1"/>
    <w:rsid w:val="3B7A5A8D"/>
    <w:rsid w:val="3B906664"/>
    <w:rsid w:val="3C365867"/>
    <w:rsid w:val="3D2B2DB7"/>
    <w:rsid w:val="3D331554"/>
    <w:rsid w:val="3DCC606F"/>
    <w:rsid w:val="3E173A67"/>
    <w:rsid w:val="3F0312C2"/>
    <w:rsid w:val="401B6382"/>
    <w:rsid w:val="40A869C3"/>
    <w:rsid w:val="412B7AC6"/>
    <w:rsid w:val="42431578"/>
    <w:rsid w:val="42595F30"/>
    <w:rsid w:val="42F845D2"/>
    <w:rsid w:val="43662FA4"/>
    <w:rsid w:val="44935E12"/>
    <w:rsid w:val="46D4101D"/>
    <w:rsid w:val="47FB61A8"/>
    <w:rsid w:val="48DA004C"/>
    <w:rsid w:val="48DE5F2F"/>
    <w:rsid w:val="49D114CE"/>
    <w:rsid w:val="4A155171"/>
    <w:rsid w:val="4B6871A5"/>
    <w:rsid w:val="4B8F7333"/>
    <w:rsid w:val="4B9B786A"/>
    <w:rsid w:val="4C991B0E"/>
    <w:rsid w:val="4D0248D8"/>
    <w:rsid w:val="4E083533"/>
    <w:rsid w:val="4FCA7A77"/>
    <w:rsid w:val="51DF3D03"/>
    <w:rsid w:val="51F62A96"/>
    <w:rsid w:val="51F76707"/>
    <w:rsid w:val="51FE3BD7"/>
    <w:rsid w:val="52BC6E98"/>
    <w:rsid w:val="538E76FD"/>
    <w:rsid w:val="53E43F94"/>
    <w:rsid w:val="54E35FFA"/>
    <w:rsid w:val="54F473B3"/>
    <w:rsid w:val="55A5346D"/>
    <w:rsid w:val="561C6CEB"/>
    <w:rsid w:val="568B2242"/>
    <w:rsid w:val="56F42E3D"/>
    <w:rsid w:val="571409B8"/>
    <w:rsid w:val="573D70C9"/>
    <w:rsid w:val="57961A49"/>
    <w:rsid w:val="59EE791A"/>
    <w:rsid w:val="5BA52D78"/>
    <w:rsid w:val="5BD32D6E"/>
    <w:rsid w:val="5BF168B6"/>
    <w:rsid w:val="5C114754"/>
    <w:rsid w:val="5C301AFF"/>
    <w:rsid w:val="5CBC3D00"/>
    <w:rsid w:val="5D9C143B"/>
    <w:rsid w:val="5E940365"/>
    <w:rsid w:val="5FEB01D5"/>
    <w:rsid w:val="606F03C5"/>
    <w:rsid w:val="60A8634C"/>
    <w:rsid w:val="61AC02A1"/>
    <w:rsid w:val="61E37639"/>
    <w:rsid w:val="61FC0784"/>
    <w:rsid w:val="625247BE"/>
    <w:rsid w:val="63D531EF"/>
    <w:rsid w:val="64373C6C"/>
    <w:rsid w:val="64CD31C5"/>
    <w:rsid w:val="659F54FA"/>
    <w:rsid w:val="65C248FD"/>
    <w:rsid w:val="65FD5FE8"/>
    <w:rsid w:val="66B45A48"/>
    <w:rsid w:val="69C77840"/>
    <w:rsid w:val="6AC02C0D"/>
    <w:rsid w:val="6AF64881"/>
    <w:rsid w:val="6B3C534C"/>
    <w:rsid w:val="6BAC33A3"/>
    <w:rsid w:val="6C1B01C7"/>
    <w:rsid w:val="6CCA3DFA"/>
    <w:rsid w:val="6D040B8C"/>
    <w:rsid w:val="6E1A74E4"/>
    <w:rsid w:val="6EA514DC"/>
    <w:rsid w:val="6EBA7DBD"/>
    <w:rsid w:val="6F335423"/>
    <w:rsid w:val="70F112A2"/>
    <w:rsid w:val="71AA2C4E"/>
    <w:rsid w:val="723E0597"/>
    <w:rsid w:val="72BF541A"/>
    <w:rsid w:val="73C53AE7"/>
    <w:rsid w:val="74AF5AA0"/>
    <w:rsid w:val="74DB6895"/>
    <w:rsid w:val="7515254A"/>
    <w:rsid w:val="753D0DF1"/>
    <w:rsid w:val="755159DE"/>
    <w:rsid w:val="7786611D"/>
    <w:rsid w:val="77BA1111"/>
    <w:rsid w:val="77C94BEC"/>
    <w:rsid w:val="786F6D38"/>
    <w:rsid w:val="79C42863"/>
    <w:rsid w:val="7A574472"/>
    <w:rsid w:val="7B4A02D1"/>
    <w:rsid w:val="7BDB271D"/>
    <w:rsid w:val="7C016BE2"/>
    <w:rsid w:val="7C320365"/>
    <w:rsid w:val="7C734908"/>
    <w:rsid w:val="7C7575D0"/>
    <w:rsid w:val="7F467D1F"/>
    <w:rsid w:val="7FC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kern w:val="2"/>
      <w:sz w:val="28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表格文字"/>
    <w:basedOn w:val="1"/>
    <w:next w:val="6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9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autoRedefine/>
    <w:qFormat/>
    <w:uiPriority w:val="39"/>
    <w:pPr>
      <w:widowControl w:val="0"/>
      <w:ind w:left="1680"/>
      <w:jc w:val="both"/>
    </w:pPr>
    <w:rPr>
      <w:kern w:val="2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index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4">
    <w:name w:val="Body Text First Indent"/>
    <w:basedOn w:val="6"/>
    <w:next w:val="15"/>
    <w:qFormat/>
    <w:uiPriority w:val="0"/>
    <w:pPr>
      <w:adjustRightInd w:val="0"/>
      <w:spacing w:after="120" w:afterLines="0" w:line="240" w:lineRule="atLeast"/>
      <w:ind w:firstLine="420" w:firstLineChars="100"/>
      <w:jc w:val="left"/>
    </w:pPr>
    <w:rPr>
      <w:kern w:val="0"/>
      <w:sz w:val="24"/>
      <w:szCs w:val="24"/>
    </w:rPr>
  </w:style>
  <w:style w:type="paragraph" w:styleId="15">
    <w:name w:val="Body Text First Indent 2"/>
    <w:basedOn w:val="9"/>
    <w:next w:val="1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autoRedefine/>
    <w:qFormat/>
    <w:uiPriority w:val="0"/>
    <w:pPr>
      <w:spacing w:line="360" w:lineRule="auto"/>
      <w:ind w:firstLine="200" w:firstLineChars="200"/>
    </w:pPr>
    <w:rPr>
      <w:rFonts w:eastAsia="楷体_GB2312" w:cs="Lucida Sans"/>
      <w:szCs w:val="24"/>
    </w:rPr>
  </w:style>
  <w:style w:type="character" w:customStyle="1" w:styleId="20">
    <w:name w:val="font11"/>
    <w:basedOn w:val="18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21">
    <w:name w:val="NormalCharacter"/>
    <w:link w:val="1"/>
    <w:semiHidden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2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2962</Words>
  <Characters>3088</Characters>
  <Lines>0</Lines>
  <Paragraphs>0</Paragraphs>
  <TotalTime>6</TotalTime>
  <ScaleCrop>false</ScaleCrop>
  <LinksUpToDate>false</LinksUpToDate>
  <CharactersWithSpaces>3219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2022-08-19T01:48:00Z</dcterms:created>
  <dc:creator>Administrator.HK-202107272243</dc:creator>
  <cp:lastModifiedBy>R--</cp:lastModifiedBy>
  <cp:lastPrinted>2023-09-27T05:01:00Z</cp:lastPrinted>
  <dcterms:modified xsi:type="dcterms:W3CDTF">2025-10-10T08:22:27Z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2DCF2ADE8E034945883DDB60C052DE9C_13</vt:lpwstr>
  </property>
  <property fmtid="{D5CDD505-2E9C-101B-9397-08002B2CF9AE}" pid="4" name="KSOTemplateDocerSaveRecord">
    <vt:lpwstr>eyJoZGlkIjoiZWQxNjAyOTkyNWRjNWU0ZGVmNGY3MTg1NmJlYTAzYWYiLCJ1c2VySWQiOiI1MDk2NjU4ODcifQ==</vt:lpwstr>
  </property>
</Properties>
</file>