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17B39">
      <w:pPr>
        <w:spacing w:line="400" w:lineRule="exact"/>
        <w:ind w:right="840"/>
        <w:rPr>
          <w:rFonts w:asciiTheme="minorEastAsia" w:hAnsiTheme="minorEastAsia"/>
          <w:b/>
          <w:sz w:val="32"/>
          <w:szCs w:val="32"/>
        </w:rPr>
      </w:pPr>
      <w:r>
        <w:rPr>
          <w:rFonts w:hint="eastAsia" w:asciiTheme="minorEastAsia" w:hAnsiTheme="minorEastAsia"/>
          <w:b/>
          <w:sz w:val="32"/>
          <w:szCs w:val="32"/>
        </w:rPr>
        <w:t>附件：</w:t>
      </w:r>
    </w:p>
    <w:p w14:paraId="6574F0D6">
      <w:pPr>
        <w:widowControl/>
        <w:jc w:val="center"/>
        <w:rPr>
          <w:b/>
          <w:sz w:val="52"/>
        </w:rPr>
      </w:pPr>
    </w:p>
    <w:p w14:paraId="2B4B781C">
      <w:pPr>
        <w:widowControl/>
        <w:jc w:val="center"/>
        <w:rPr>
          <w:b/>
          <w:sz w:val="44"/>
          <w:szCs w:val="44"/>
        </w:rPr>
      </w:pPr>
      <w:r>
        <w:rPr>
          <w:b/>
          <w:sz w:val="44"/>
          <w:szCs w:val="44"/>
        </w:rPr>
        <w:t>中山市</w:t>
      </w:r>
      <w:r>
        <w:rPr>
          <w:rFonts w:hint="eastAsia"/>
          <w:b/>
          <w:sz w:val="44"/>
          <w:szCs w:val="44"/>
          <w:lang w:eastAsia="zh-CN"/>
        </w:rPr>
        <w:t>民众医院</w:t>
      </w:r>
      <w:r>
        <w:rPr>
          <w:b/>
          <w:sz w:val="44"/>
          <w:szCs w:val="44"/>
        </w:rPr>
        <w:t>院内</w:t>
      </w:r>
      <w:r>
        <w:rPr>
          <w:rFonts w:hint="eastAsia"/>
          <w:b/>
          <w:sz w:val="44"/>
          <w:szCs w:val="44"/>
        </w:rPr>
        <w:t>采购</w:t>
      </w:r>
      <w:r>
        <w:rPr>
          <w:b/>
          <w:sz w:val="44"/>
          <w:szCs w:val="44"/>
        </w:rPr>
        <w:t>文件</w:t>
      </w:r>
    </w:p>
    <w:p w14:paraId="767C61B1">
      <w:pPr>
        <w:widowControl/>
        <w:jc w:val="center"/>
        <w:rPr>
          <w:sz w:val="44"/>
        </w:rPr>
      </w:pPr>
    </w:p>
    <w:p w14:paraId="2C247932">
      <w:pPr>
        <w:widowControl/>
        <w:jc w:val="center"/>
        <w:rPr>
          <w:sz w:val="52"/>
        </w:rPr>
      </w:pPr>
    </w:p>
    <w:p w14:paraId="1FFDAF24">
      <w:pPr>
        <w:widowControl/>
        <w:jc w:val="center"/>
        <w:rPr>
          <w:sz w:val="44"/>
        </w:rPr>
      </w:pPr>
    </w:p>
    <w:p w14:paraId="3BE60FAA">
      <w:pPr>
        <w:widowControl/>
        <w:jc w:val="center"/>
        <w:rPr>
          <w:sz w:val="44"/>
        </w:rPr>
      </w:pPr>
    </w:p>
    <w:p w14:paraId="4F7F1C2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default"/>
          <w:b/>
          <w:sz w:val="36"/>
          <w:lang w:val="en-US" w:eastAsia="zh-CN"/>
        </w:rPr>
      </w:pPr>
      <w:r>
        <w:rPr>
          <w:b/>
          <w:sz w:val="36"/>
        </w:rPr>
        <w:t>项目编号：</w:t>
      </w:r>
      <w:r>
        <w:rPr>
          <w:rFonts w:hint="eastAsia"/>
          <w:b/>
          <w:sz w:val="36"/>
          <w:lang w:val="en-US" w:eastAsia="zh-CN"/>
        </w:rPr>
        <w:t>MZYY-YW-2025001</w:t>
      </w:r>
    </w:p>
    <w:p w14:paraId="3DC63BB7">
      <w:pPr>
        <w:widowControl/>
        <w:spacing w:after="156" w:line="360" w:lineRule="auto"/>
        <w:ind w:right="281" w:firstLine="1084"/>
        <w:jc w:val="left"/>
        <w:rPr>
          <w:b/>
          <w:sz w:val="36"/>
        </w:rPr>
      </w:pPr>
    </w:p>
    <w:p w14:paraId="2431684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b/>
          <w:sz w:val="36"/>
          <w:lang w:val="en-US" w:eastAsia="zh-CN"/>
        </w:rPr>
      </w:pPr>
      <w:r>
        <w:rPr>
          <w:b/>
          <w:sz w:val="36"/>
        </w:rPr>
        <w:t>项目名称：</w:t>
      </w:r>
      <w:r>
        <w:rPr>
          <w:rFonts w:hint="eastAsia"/>
          <w:b/>
          <w:sz w:val="36"/>
          <w:lang w:val="en-US" w:eastAsia="zh-CN"/>
        </w:rPr>
        <w:t>中山市民众医院医学考试系统项目</w:t>
      </w:r>
    </w:p>
    <w:p w14:paraId="0EA4356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b/>
          <w:sz w:val="36"/>
          <w:lang w:val="en-US" w:eastAsia="zh-CN"/>
        </w:rPr>
      </w:pPr>
    </w:p>
    <w:p w14:paraId="4CFBA9A4">
      <w:pPr>
        <w:widowControl/>
        <w:jc w:val="center"/>
        <w:rPr>
          <w:sz w:val="36"/>
        </w:rPr>
      </w:pPr>
    </w:p>
    <w:p w14:paraId="3FA22358">
      <w:pPr>
        <w:widowControl/>
        <w:jc w:val="center"/>
        <w:rPr>
          <w:sz w:val="36"/>
        </w:rPr>
      </w:pPr>
    </w:p>
    <w:p w14:paraId="5D30A7A4">
      <w:pPr>
        <w:widowControl/>
        <w:jc w:val="center"/>
        <w:rPr>
          <w:sz w:val="36"/>
        </w:rPr>
      </w:pPr>
    </w:p>
    <w:p w14:paraId="3C537321">
      <w:pPr>
        <w:widowControl/>
        <w:jc w:val="center"/>
        <w:rPr>
          <w:b/>
          <w:sz w:val="36"/>
        </w:rPr>
      </w:pPr>
    </w:p>
    <w:p w14:paraId="3400ED53">
      <w:pPr>
        <w:widowControl/>
        <w:jc w:val="center"/>
        <w:rPr>
          <w:b/>
          <w:sz w:val="36"/>
        </w:rPr>
      </w:pPr>
    </w:p>
    <w:p w14:paraId="7D772D0B">
      <w:pPr>
        <w:widowControl/>
        <w:jc w:val="center"/>
        <w:rPr>
          <w:b/>
          <w:sz w:val="36"/>
        </w:rPr>
      </w:pPr>
    </w:p>
    <w:p w14:paraId="42E42753">
      <w:pPr>
        <w:widowControl/>
        <w:rPr>
          <w:b/>
          <w:sz w:val="36"/>
        </w:rPr>
      </w:pPr>
    </w:p>
    <w:p w14:paraId="4AAC12F0">
      <w:pPr>
        <w:widowControl/>
        <w:jc w:val="center"/>
        <w:rPr>
          <w:rFonts w:hint="eastAsia" w:eastAsiaTheme="minorEastAsia"/>
          <w:b/>
          <w:sz w:val="36"/>
          <w:lang w:eastAsia="zh-CN"/>
        </w:rPr>
      </w:pPr>
      <w:r>
        <w:rPr>
          <w:b/>
          <w:sz w:val="36"/>
        </w:rPr>
        <w:t>中山市</w:t>
      </w:r>
      <w:r>
        <w:rPr>
          <w:rFonts w:hint="eastAsia"/>
          <w:b/>
          <w:sz w:val="36"/>
          <w:lang w:eastAsia="zh-CN"/>
        </w:rPr>
        <w:t>民众</w:t>
      </w:r>
      <w:r>
        <w:rPr>
          <w:b/>
          <w:sz w:val="36"/>
        </w:rPr>
        <w:t>医院</w:t>
      </w:r>
      <w:r>
        <w:rPr>
          <w:rFonts w:hint="eastAsia"/>
          <w:b/>
          <w:sz w:val="36"/>
          <w:lang w:eastAsia="zh-CN"/>
        </w:rPr>
        <w:t>招标采购办</w:t>
      </w:r>
    </w:p>
    <w:p w14:paraId="2D2A8CE9">
      <w:pPr>
        <w:widowControl/>
        <w:spacing w:line="360" w:lineRule="auto"/>
        <w:jc w:val="center"/>
        <w:rPr>
          <w:b/>
          <w:sz w:val="30"/>
        </w:rPr>
      </w:pPr>
      <w:r>
        <w:rPr>
          <w:rFonts w:hint="eastAsia"/>
          <w:b/>
          <w:sz w:val="30"/>
        </w:rPr>
        <w:t>20</w:t>
      </w:r>
      <w:r>
        <w:rPr>
          <w:rFonts w:hint="eastAsia"/>
          <w:b/>
          <w:sz w:val="30"/>
          <w:lang w:val="en-US" w:eastAsia="zh-CN"/>
        </w:rPr>
        <w:t>25</w:t>
      </w:r>
      <w:r>
        <w:rPr>
          <w:b/>
          <w:sz w:val="30"/>
        </w:rPr>
        <w:t xml:space="preserve"> 年</w:t>
      </w:r>
      <w:r>
        <w:rPr>
          <w:rFonts w:hint="eastAsia"/>
          <w:b/>
          <w:sz w:val="30"/>
          <w:lang w:val="en-US" w:eastAsia="zh-CN"/>
        </w:rPr>
        <w:t>3</w:t>
      </w:r>
      <w:r>
        <w:rPr>
          <w:b/>
          <w:sz w:val="30"/>
        </w:rPr>
        <w:t>月</w:t>
      </w:r>
    </w:p>
    <w:p w14:paraId="4029947F">
      <w:pPr>
        <w:widowControl/>
        <w:jc w:val="center"/>
        <w:rPr>
          <w:b/>
          <w:sz w:val="48"/>
        </w:rPr>
      </w:pPr>
      <w:r>
        <w:br w:type="page"/>
      </w:r>
      <w:r>
        <w:rPr>
          <w:b/>
          <w:sz w:val="48"/>
        </w:rPr>
        <w:t>目  录</w:t>
      </w:r>
    </w:p>
    <w:p w14:paraId="389984C8">
      <w:pPr>
        <w:widowControl/>
        <w:jc w:val="left"/>
        <w:rPr>
          <w:b/>
          <w:sz w:val="48"/>
        </w:rPr>
      </w:pPr>
    </w:p>
    <w:p w14:paraId="4004B1A9">
      <w:pPr>
        <w:widowControl/>
        <w:numPr>
          <w:ilvl w:val="0"/>
          <w:numId w:val="1"/>
        </w:numPr>
        <w:spacing w:line="360" w:lineRule="auto"/>
        <w:ind w:left="720"/>
        <w:jc w:val="left"/>
        <w:rPr>
          <w:b/>
          <w:sz w:val="28"/>
        </w:rPr>
      </w:pPr>
      <w:r>
        <w:rPr>
          <w:b/>
          <w:sz w:val="28"/>
        </w:rPr>
        <w:t>项目基本情况</w:t>
      </w:r>
    </w:p>
    <w:p w14:paraId="6874970D">
      <w:pPr>
        <w:widowControl/>
        <w:numPr>
          <w:ilvl w:val="0"/>
          <w:numId w:val="1"/>
        </w:numPr>
        <w:spacing w:line="360" w:lineRule="auto"/>
        <w:ind w:left="720"/>
        <w:jc w:val="left"/>
        <w:rPr>
          <w:b/>
          <w:sz w:val="28"/>
        </w:rPr>
      </w:pPr>
      <w:r>
        <w:rPr>
          <w:rFonts w:hint="eastAsia"/>
          <w:b/>
          <w:sz w:val="28"/>
        </w:rPr>
        <w:t>供应商</w:t>
      </w:r>
      <w:r>
        <w:rPr>
          <w:b/>
          <w:sz w:val="28"/>
        </w:rPr>
        <w:t>资格要求</w:t>
      </w:r>
    </w:p>
    <w:p w14:paraId="50FA8AB6">
      <w:pPr>
        <w:widowControl/>
        <w:numPr>
          <w:ilvl w:val="0"/>
          <w:numId w:val="1"/>
        </w:numPr>
        <w:spacing w:line="360" w:lineRule="auto"/>
        <w:ind w:left="720"/>
        <w:jc w:val="left"/>
        <w:rPr>
          <w:b/>
          <w:sz w:val="28"/>
        </w:rPr>
      </w:pPr>
      <w:r>
        <w:rPr>
          <w:rFonts w:hint="eastAsia"/>
          <w:b/>
          <w:sz w:val="28"/>
          <w:lang w:eastAsia="zh-CN"/>
        </w:rPr>
        <w:t>招标</w:t>
      </w:r>
      <w:r>
        <w:rPr>
          <w:rFonts w:hint="eastAsia"/>
          <w:b/>
          <w:sz w:val="28"/>
        </w:rPr>
        <w:t>活动须</w:t>
      </w:r>
      <w:r>
        <w:rPr>
          <w:b/>
          <w:sz w:val="28"/>
        </w:rPr>
        <w:t>知</w:t>
      </w:r>
    </w:p>
    <w:p w14:paraId="0043D5FD">
      <w:pPr>
        <w:widowControl/>
        <w:numPr>
          <w:ilvl w:val="0"/>
          <w:numId w:val="1"/>
        </w:numPr>
        <w:spacing w:line="360" w:lineRule="auto"/>
        <w:ind w:left="720"/>
        <w:jc w:val="left"/>
        <w:rPr>
          <w:b/>
          <w:sz w:val="28"/>
        </w:rPr>
      </w:pPr>
      <w:r>
        <w:rPr>
          <w:b/>
          <w:sz w:val="28"/>
        </w:rPr>
        <w:t>验收及付款</w:t>
      </w:r>
    </w:p>
    <w:p w14:paraId="268A1B9A">
      <w:pPr>
        <w:widowControl/>
        <w:numPr>
          <w:ilvl w:val="0"/>
          <w:numId w:val="1"/>
        </w:numPr>
        <w:spacing w:line="360" w:lineRule="auto"/>
        <w:ind w:left="720"/>
        <w:jc w:val="left"/>
        <w:rPr>
          <w:b/>
          <w:sz w:val="28"/>
        </w:rPr>
      </w:pPr>
      <w:r>
        <w:rPr>
          <w:rFonts w:hint="eastAsia"/>
          <w:b/>
          <w:sz w:val="28"/>
        </w:rPr>
        <w:t>响应文件</w:t>
      </w:r>
    </w:p>
    <w:p w14:paraId="699E94F9">
      <w:pPr>
        <w:widowControl/>
        <w:numPr>
          <w:ilvl w:val="0"/>
          <w:numId w:val="1"/>
        </w:numPr>
        <w:spacing w:line="360" w:lineRule="auto"/>
        <w:ind w:left="720"/>
        <w:jc w:val="left"/>
        <w:rPr>
          <w:b/>
          <w:sz w:val="28"/>
        </w:rPr>
      </w:pPr>
      <w:r>
        <w:rPr>
          <w:rFonts w:hint="eastAsia"/>
          <w:b/>
          <w:sz w:val="28"/>
        </w:rPr>
        <w:t>评审</w:t>
      </w:r>
    </w:p>
    <w:p w14:paraId="1B882C9B">
      <w:pPr>
        <w:widowControl/>
        <w:numPr>
          <w:ilvl w:val="0"/>
          <w:numId w:val="1"/>
        </w:numPr>
        <w:spacing w:line="360" w:lineRule="auto"/>
        <w:ind w:left="720"/>
        <w:jc w:val="left"/>
        <w:rPr>
          <w:b/>
          <w:sz w:val="28"/>
        </w:rPr>
      </w:pPr>
      <w:r>
        <w:rPr>
          <w:rFonts w:hint="eastAsia"/>
          <w:b/>
          <w:sz w:val="28"/>
        </w:rPr>
        <w:t>成交供应商的确定</w:t>
      </w:r>
    </w:p>
    <w:p w14:paraId="6287B6A7">
      <w:pPr>
        <w:widowControl/>
        <w:numPr>
          <w:ilvl w:val="0"/>
          <w:numId w:val="1"/>
        </w:numPr>
        <w:spacing w:line="360" w:lineRule="auto"/>
        <w:ind w:left="720"/>
        <w:jc w:val="left"/>
        <w:rPr>
          <w:b/>
          <w:sz w:val="28"/>
        </w:rPr>
      </w:pPr>
      <w:r>
        <w:rPr>
          <w:rFonts w:hint="eastAsia"/>
          <w:b/>
          <w:sz w:val="28"/>
        </w:rPr>
        <w:t>评审</w:t>
      </w:r>
      <w:r>
        <w:rPr>
          <w:b/>
          <w:sz w:val="28"/>
        </w:rPr>
        <w:t>时间与地点</w:t>
      </w:r>
    </w:p>
    <w:p w14:paraId="53AE32BC">
      <w:pPr>
        <w:widowControl/>
        <w:numPr>
          <w:ilvl w:val="0"/>
          <w:numId w:val="1"/>
        </w:numPr>
        <w:spacing w:line="360" w:lineRule="auto"/>
        <w:ind w:left="720"/>
        <w:jc w:val="left"/>
        <w:rPr>
          <w:b/>
          <w:sz w:val="28"/>
        </w:rPr>
      </w:pPr>
      <w:r>
        <w:rPr>
          <w:b/>
          <w:sz w:val="28"/>
        </w:rPr>
        <w:t>联系方式</w:t>
      </w:r>
    </w:p>
    <w:p w14:paraId="6F0A7808">
      <w:pPr>
        <w:widowControl/>
        <w:spacing w:line="360" w:lineRule="auto"/>
        <w:jc w:val="left"/>
        <w:rPr>
          <w:b/>
          <w:sz w:val="28"/>
        </w:rPr>
      </w:pPr>
      <w:r>
        <w:rPr>
          <w:b/>
          <w:sz w:val="28"/>
        </w:rPr>
        <w:t>模版一：无违法违纪行为承诺书</w:t>
      </w:r>
    </w:p>
    <w:p w14:paraId="30465F6B">
      <w:pPr>
        <w:widowControl/>
        <w:spacing w:line="360" w:lineRule="auto"/>
        <w:jc w:val="left"/>
        <w:rPr>
          <w:b/>
          <w:sz w:val="28"/>
        </w:rPr>
      </w:pPr>
      <w:r>
        <w:rPr>
          <w:b/>
          <w:sz w:val="28"/>
        </w:rPr>
        <w:t>模版二：无围标、串标承诺书</w:t>
      </w:r>
    </w:p>
    <w:p w14:paraId="3536561C">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b/>
          <w:sz w:val="28"/>
          <w:lang w:eastAsia="zh-CN"/>
        </w:rPr>
      </w:pPr>
      <w:r>
        <w:rPr>
          <w:rFonts w:hint="eastAsia"/>
          <w:b/>
          <w:sz w:val="28"/>
        </w:rPr>
        <w:t>附件一：</w:t>
      </w:r>
      <w:r>
        <w:rPr>
          <w:rFonts w:hint="eastAsia"/>
          <w:b/>
          <w:sz w:val="28"/>
          <w:lang w:eastAsia="zh-CN"/>
        </w:rPr>
        <w:t>民众医院医学考试系统产品参数</w:t>
      </w:r>
    </w:p>
    <w:p w14:paraId="0C6E00ED">
      <w:pPr>
        <w:widowControl/>
        <w:jc w:val="left"/>
        <w:rPr>
          <w:b/>
          <w:sz w:val="28"/>
        </w:rPr>
      </w:pPr>
    </w:p>
    <w:p w14:paraId="07B1067D">
      <w:pPr>
        <w:widowControl/>
        <w:jc w:val="left"/>
        <w:rPr>
          <w:b/>
          <w:sz w:val="48"/>
        </w:rPr>
      </w:pPr>
    </w:p>
    <w:p w14:paraId="3CF1DFAB">
      <w:pPr>
        <w:widowControl/>
        <w:jc w:val="left"/>
        <w:rPr>
          <w:b/>
          <w:sz w:val="48"/>
        </w:rPr>
      </w:pPr>
    </w:p>
    <w:p w14:paraId="6975CE7A">
      <w:pPr>
        <w:widowControl/>
        <w:jc w:val="left"/>
        <w:rPr>
          <w:b/>
          <w:sz w:val="48"/>
        </w:rPr>
      </w:pPr>
    </w:p>
    <w:p w14:paraId="213142A9">
      <w:pPr>
        <w:widowControl/>
        <w:jc w:val="left"/>
        <w:rPr>
          <w:b/>
          <w:sz w:val="48"/>
        </w:rPr>
      </w:pPr>
    </w:p>
    <w:p w14:paraId="48285E03">
      <w:pPr>
        <w:widowControl/>
        <w:jc w:val="left"/>
        <w:rPr>
          <w:b/>
          <w:sz w:val="48"/>
        </w:rPr>
      </w:pPr>
    </w:p>
    <w:p w14:paraId="67095FB6">
      <w:pPr>
        <w:widowControl/>
        <w:jc w:val="left"/>
        <w:rPr>
          <w:b/>
          <w:sz w:val="48"/>
        </w:rPr>
      </w:pPr>
    </w:p>
    <w:p w14:paraId="3A4A34D1">
      <w:pPr>
        <w:widowControl/>
        <w:jc w:val="left"/>
        <w:rPr>
          <w:b/>
          <w:sz w:val="48"/>
        </w:rPr>
      </w:pPr>
    </w:p>
    <w:p w14:paraId="5AB49F75">
      <w:pPr>
        <w:widowControl/>
        <w:jc w:val="left"/>
        <w:rPr>
          <w:sz w:val="24"/>
        </w:rPr>
      </w:pPr>
      <w:r>
        <w:rPr>
          <w:b/>
          <w:sz w:val="24"/>
        </w:rPr>
        <w:t>一、项目基本情况</w:t>
      </w:r>
    </w:p>
    <w:p w14:paraId="7F31CD8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1、项目名称：中山市民众医院医学考试系统项目</w:t>
      </w:r>
    </w:p>
    <w:p w14:paraId="65035514">
      <w:pPr>
        <w:spacing w:line="400" w:lineRule="exact"/>
        <w:ind w:firstLine="420" w:firstLineChars="20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2、项目编号：MZYY-YW-2025001</w:t>
      </w:r>
    </w:p>
    <w:p w14:paraId="1C280CB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3</w:t>
      </w:r>
      <w:r>
        <w:rPr>
          <w:rFonts w:hint="eastAsia" w:asciiTheme="minorEastAsia" w:hAnsiTheme="minorEastAsia" w:eastAsiaTheme="minorEastAsia" w:cstheme="minorBidi"/>
          <w:kern w:val="2"/>
          <w:sz w:val="21"/>
          <w:szCs w:val="21"/>
          <w:lang w:val="en-US" w:eastAsia="zh-CN" w:bidi="ar-SA"/>
        </w:rPr>
        <w:t>、项目预算：20000元，</w:t>
      </w:r>
      <w:r>
        <w:rPr>
          <w:rFonts w:hint="eastAsia" w:asciiTheme="minorEastAsia" w:hAnsiTheme="minorEastAsia" w:cstheme="minorBidi"/>
          <w:kern w:val="2"/>
          <w:sz w:val="21"/>
          <w:szCs w:val="21"/>
          <w:lang w:val="en-US" w:eastAsia="zh-CN" w:bidi="ar-SA"/>
        </w:rPr>
        <w:t>报价</w:t>
      </w:r>
      <w:r>
        <w:rPr>
          <w:rFonts w:hint="eastAsia" w:asciiTheme="minorEastAsia" w:hAnsiTheme="minorEastAsia" w:eastAsiaTheme="minorEastAsia" w:cstheme="minorBidi"/>
          <w:kern w:val="2"/>
          <w:sz w:val="21"/>
          <w:szCs w:val="21"/>
          <w:lang w:val="en-US" w:eastAsia="zh-CN" w:bidi="ar-SA"/>
        </w:rPr>
        <w:t>超过</w:t>
      </w:r>
      <w:r>
        <w:rPr>
          <w:rFonts w:hint="eastAsia" w:asciiTheme="minorEastAsia" w:hAnsiTheme="minorEastAsia" w:cstheme="minorBidi"/>
          <w:kern w:val="2"/>
          <w:sz w:val="21"/>
          <w:szCs w:val="21"/>
          <w:lang w:val="en-US" w:eastAsia="zh-CN" w:bidi="ar-SA"/>
        </w:rPr>
        <w:t>项目预算</w:t>
      </w:r>
      <w:r>
        <w:rPr>
          <w:rFonts w:hint="eastAsia" w:asciiTheme="minorEastAsia" w:hAnsiTheme="minorEastAsia" w:eastAsiaTheme="minorEastAsia" w:cstheme="minorBidi"/>
          <w:kern w:val="2"/>
          <w:sz w:val="21"/>
          <w:szCs w:val="21"/>
          <w:lang w:val="en-US" w:eastAsia="zh-CN" w:bidi="ar-SA"/>
        </w:rPr>
        <w:t>的属于无效响应。</w:t>
      </w:r>
    </w:p>
    <w:p w14:paraId="71FB498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4</w:t>
      </w:r>
      <w:r>
        <w:rPr>
          <w:rFonts w:hint="eastAsia" w:asciiTheme="minorEastAsia" w:hAnsiTheme="minorEastAsia" w:eastAsiaTheme="minorEastAsia" w:cstheme="minorBidi"/>
          <w:kern w:val="2"/>
          <w:sz w:val="21"/>
          <w:szCs w:val="21"/>
          <w:lang w:val="en-US" w:eastAsia="zh-CN" w:bidi="ar-SA"/>
        </w:rPr>
        <w:t>、在软件使用期间，提供一切技术支持，不再额外收取任何费用。</w:t>
      </w:r>
    </w:p>
    <w:p w14:paraId="4A3FA4B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5</w:t>
      </w:r>
      <w:r>
        <w:rPr>
          <w:rFonts w:hint="eastAsia" w:asciiTheme="minorEastAsia" w:hAnsiTheme="minorEastAsia" w:eastAsiaTheme="minorEastAsia" w:cstheme="minorBidi"/>
          <w:kern w:val="2"/>
          <w:sz w:val="21"/>
          <w:szCs w:val="21"/>
          <w:lang w:val="en-US" w:eastAsia="zh-CN" w:bidi="ar-SA"/>
        </w:rPr>
        <w:t>、民众医院医学考试系统产品参数见附件一。</w:t>
      </w:r>
    </w:p>
    <w:p w14:paraId="32BE0999">
      <w:pPr>
        <w:widowControl/>
        <w:spacing w:line="360" w:lineRule="auto"/>
        <w:ind w:left="2048" w:hanging="2048"/>
        <w:jc w:val="left"/>
        <w:rPr>
          <w:b/>
          <w:sz w:val="24"/>
        </w:rPr>
      </w:pPr>
      <w:r>
        <w:rPr>
          <w:b/>
          <w:sz w:val="24"/>
        </w:rPr>
        <w:t>二、</w:t>
      </w:r>
      <w:r>
        <w:rPr>
          <w:rFonts w:hint="eastAsia"/>
          <w:b/>
          <w:sz w:val="24"/>
        </w:rPr>
        <w:t>供应商</w:t>
      </w:r>
      <w:r>
        <w:rPr>
          <w:b/>
          <w:sz w:val="24"/>
        </w:rPr>
        <w:t>资格要求</w:t>
      </w:r>
    </w:p>
    <w:p w14:paraId="1959FAAD">
      <w:pPr>
        <w:spacing w:line="380" w:lineRule="atLeast"/>
        <w:ind w:firstLine="420" w:firstLineChars="200"/>
      </w:pPr>
      <w:r>
        <w:t>1、响应</w:t>
      </w:r>
      <w:r>
        <w:rPr>
          <w:rFonts w:hint="eastAsia"/>
        </w:rPr>
        <w:t>供应商</w:t>
      </w:r>
      <w:r>
        <w:t>必须是具有独立承担民事责任能力的在中华人民共和国境内注册的企业法人或其他组织；</w:t>
      </w:r>
    </w:p>
    <w:p w14:paraId="5013C7D2">
      <w:pPr>
        <w:spacing w:line="380" w:lineRule="atLeast"/>
        <w:ind w:firstLine="420" w:firstLineChars="200"/>
      </w:pPr>
      <w:r>
        <w:t>2、响应</w:t>
      </w:r>
      <w:r>
        <w:rPr>
          <w:rFonts w:hint="eastAsia"/>
        </w:rPr>
        <w:t>供应商</w:t>
      </w:r>
      <w:r>
        <w:t>须具有有效的且具备相关经营范围的营业执照；</w:t>
      </w:r>
    </w:p>
    <w:p w14:paraId="04B6786C">
      <w:pPr>
        <w:spacing w:line="380" w:lineRule="atLeast"/>
        <w:ind w:firstLine="420" w:firstLineChars="200"/>
      </w:pPr>
      <w:r>
        <w:t>3、响应</w:t>
      </w:r>
      <w:r>
        <w:rPr>
          <w:rFonts w:hint="eastAsia"/>
        </w:rPr>
        <w:t>供应商</w:t>
      </w:r>
      <w:r>
        <w:t>应具有项目的承接能力、合同的履约能力、售后服务能力和良好的信誉；</w:t>
      </w:r>
    </w:p>
    <w:p w14:paraId="32E6AC9A">
      <w:pPr>
        <w:spacing w:line="380" w:lineRule="atLeast"/>
        <w:ind w:firstLine="420" w:firstLineChars="200"/>
      </w:pPr>
      <w:r>
        <w:t>4、响应</w:t>
      </w:r>
      <w:r>
        <w:rPr>
          <w:rFonts w:hint="eastAsia"/>
        </w:rPr>
        <w:t>供应商</w:t>
      </w:r>
      <w:r>
        <w:t>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14:paraId="76077C2C">
      <w:pPr>
        <w:spacing w:line="380" w:lineRule="atLeast"/>
        <w:ind w:firstLine="420" w:firstLineChars="200"/>
      </w:pPr>
      <w:r>
        <w:t>5、响应</w:t>
      </w:r>
      <w:r>
        <w:rPr>
          <w:rFonts w:hint="eastAsia"/>
        </w:rPr>
        <w:t>供应商</w:t>
      </w:r>
      <w:r>
        <w:t>在以往参与公开招标活动中未有违法违纪行为并受过处罚（提供无违法违纪行为承诺书并加盖公章，参照模版一）；</w:t>
      </w:r>
    </w:p>
    <w:p w14:paraId="0D9DDC58">
      <w:pPr>
        <w:spacing w:line="380" w:lineRule="atLeast"/>
        <w:ind w:firstLine="420" w:firstLineChars="200"/>
      </w:pPr>
      <w:r>
        <w:t>6、单位负责人为同一人或者存在直接控股、管理关系的不同</w:t>
      </w:r>
      <w:r>
        <w:rPr>
          <w:rFonts w:hint="eastAsia"/>
        </w:rPr>
        <w:t>供应商</w:t>
      </w:r>
      <w:r>
        <w:t>，不得参加同一合同项下的采购活动（提供无围标、串标行为承诺书并加盖公章，参照模版二）。</w:t>
      </w:r>
    </w:p>
    <w:p w14:paraId="7EB0B375">
      <w:pPr>
        <w:spacing w:line="380" w:lineRule="atLeast"/>
        <w:ind w:firstLine="420" w:firstLineChars="200"/>
      </w:pPr>
      <w:r>
        <w:t>7、本项目不接受联合体参与。</w:t>
      </w:r>
    </w:p>
    <w:p w14:paraId="630F7741">
      <w:pPr>
        <w:widowControl/>
        <w:spacing w:line="360" w:lineRule="auto"/>
        <w:ind w:left="2048" w:hanging="2048"/>
        <w:jc w:val="left"/>
        <w:rPr>
          <w:b/>
          <w:sz w:val="24"/>
        </w:rPr>
      </w:pPr>
      <w:r>
        <w:rPr>
          <w:b/>
          <w:sz w:val="24"/>
        </w:rPr>
        <w:t>三、</w:t>
      </w:r>
      <w:r>
        <w:rPr>
          <w:rFonts w:hint="eastAsia"/>
          <w:b/>
          <w:sz w:val="24"/>
          <w:lang w:eastAsia="zh-CN"/>
        </w:rPr>
        <w:t>招标</w:t>
      </w:r>
      <w:r>
        <w:rPr>
          <w:rFonts w:hint="eastAsia"/>
          <w:b/>
          <w:sz w:val="24"/>
        </w:rPr>
        <w:t>活动须</w:t>
      </w:r>
      <w:r>
        <w:rPr>
          <w:b/>
          <w:sz w:val="24"/>
        </w:rPr>
        <w:t>知</w:t>
      </w:r>
    </w:p>
    <w:p w14:paraId="7452B522">
      <w:pPr>
        <w:spacing w:line="380" w:lineRule="atLeast"/>
        <w:ind w:firstLine="420" w:firstLineChars="200"/>
      </w:pPr>
      <w:r>
        <w:t>1、</w:t>
      </w:r>
      <w:r>
        <w:rPr>
          <w:rFonts w:hint="eastAsia"/>
        </w:rPr>
        <w:t>响应供应商</w:t>
      </w:r>
      <w:r>
        <w:t>不得相互串通报价，不得排挤其他</w:t>
      </w:r>
      <w:r>
        <w:rPr>
          <w:rFonts w:hint="eastAsia"/>
        </w:rPr>
        <w:t>供应商</w:t>
      </w:r>
      <w:r>
        <w:t>的公平竞争，损害</w:t>
      </w:r>
      <w:r>
        <w:rPr>
          <w:rFonts w:hint="eastAsia"/>
        </w:rPr>
        <w:t>采购人</w:t>
      </w:r>
      <w:r>
        <w:t>或者其他</w:t>
      </w:r>
      <w:r>
        <w:rPr>
          <w:rFonts w:hint="eastAsia"/>
        </w:rPr>
        <w:t>供应商</w:t>
      </w:r>
      <w:r>
        <w:t>的合法权益。</w:t>
      </w:r>
    </w:p>
    <w:p w14:paraId="32F45601">
      <w:pPr>
        <w:spacing w:line="380" w:lineRule="atLeast"/>
        <w:ind w:firstLine="420" w:firstLineChars="200"/>
      </w:pPr>
      <w:r>
        <w:t>2、</w:t>
      </w:r>
      <w:r>
        <w:rPr>
          <w:rFonts w:hint="eastAsia"/>
        </w:rPr>
        <w:t>响应供应商</w:t>
      </w:r>
      <w:r>
        <w:t>所有证件资料不得涂改/更改。凡提供虚假证明文件</w:t>
      </w:r>
      <w:r>
        <w:rPr>
          <w:rFonts w:hint="eastAsia"/>
        </w:rPr>
        <w:t>的</w:t>
      </w:r>
      <w:r>
        <w:t>，需承担因此而产生的一切法律责任。</w:t>
      </w:r>
    </w:p>
    <w:p w14:paraId="682FE3AE">
      <w:pPr>
        <w:spacing w:line="380" w:lineRule="atLeast"/>
        <w:ind w:firstLine="420" w:firstLineChars="200"/>
      </w:pPr>
      <w:r>
        <w:t>3、</w:t>
      </w:r>
      <w:r>
        <w:rPr>
          <w:rFonts w:hint="eastAsia"/>
        </w:rPr>
        <w:t>采购人</w:t>
      </w:r>
      <w:r>
        <w:t>将拒绝接受不合格的服务。如发现</w:t>
      </w:r>
      <w:r>
        <w:rPr>
          <w:rFonts w:hint="eastAsia"/>
        </w:rPr>
        <w:t>供应商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14:paraId="294C267C">
      <w:pPr>
        <w:spacing w:line="380" w:lineRule="atLeast"/>
        <w:ind w:firstLine="420" w:firstLineChars="200"/>
      </w:pPr>
      <w:r>
        <w:t>4、</w:t>
      </w:r>
      <w:r>
        <w:rPr>
          <w:rFonts w:hint="eastAsia"/>
        </w:rPr>
        <w:t>成交供应商</w:t>
      </w:r>
      <w:r>
        <w:t>不得以任何方式转包或分包本项目。</w:t>
      </w:r>
    </w:p>
    <w:p w14:paraId="3F138B86">
      <w:pPr>
        <w:spacing w:line="380" w:lineRule="atLeast"/>
        <w:ind w:firstLine="420" w:firstLineChars="200"/>
      </w:pPr>
      <w:r>
        <w:rPr>
          <w:rFonts w:hint="eastAsia"/>
        </w:rPr>
        <w:t>5</w:t>
      </w:r>
      <w:r>
        <w:t>、</w:t>
      </w:r>
      <w:r>
        <w:rPr>
          <w:rFonts w:hint="eastAsia"/>
        </w:rPr>
        <w:t>供应商</w:t>
      </w:r>
      <w:r>
        <w:t>对</w:t>
      </w:r>
      <w:r>
        <w:rPr>
          <w:rFonts w:hint="eastAsia"/>
        </w:rPr>
        <w:t>采购</w:t>
      </w:r>
      <w:r>
        <w:t>文件和工程量等有疑问，应在</w:t>
      </w:r>
      <w:r>
        <w:rPr>
          <w:rFonts w:hint="eastAsia"/>
        </w:rPr>
        <w:t>评审</w:t>
      </w:r>
      <w:r>
        <w:t>前向</w:t>
      </w:r>
      <w:r>
        <w:rPr>
          <w:rFonts w:hint="eastAsia"/>
        </w:rPr>
        <w:t>采购</w:t>
      </w:r>
      <w:r>
        <w:t>人提出。</w:t>
      </w:r>
    </w:p>
    <w:p w14:paraId="559B5F7B">
      <w:pPr>
        <w:spacing w:line="380" w:lineRule="atLeast"/>
        <w:ind w:firstLine="420" w:firstLineChars="200"/>
      </w:pPr>
      <w:r>
        <w:rPr>
          <w:rFonts w:hint="eastAsia"/>
        </w:rPr>
        <w:t>6</w:t>
      </w:r>
      <w:r>
        <w:t>、本项目所有相关公告在中山市</w:t>
      </w:r>
      <w:r>
        <w:rPr>
          <w:rFonts w:hint="eastAsia"/>
          <w:lang w:eastAsia="zh-CN"/>
        </w:rPr>
        <w:t>民众</w:t>
      </w:r>
      <w:r>
        <w:t>医院（</w:t>
      </w:r>
      <w:r>
        <w:rPr>
          <w:rFonts w:hint="eastAsia"/>
        </w:rPr>
        <w:t>http://www.zssmzyy.com</w:t>
      </w:r>
      <w:r>
        <w:t>）网站上发布，发布之日即视为有效送达，不再另行通知。</w:t>
      </w:r>
    </w:p>
    <w:p w14:paraId="3E122F81">
      <w:pPr>
        <w:spacing w:line="360" w:lineRule="auto"/>
        <w:ind w:firstLine="420" w:firstLineChars="200"/>
        <w:rPr>
          <w:color w:val="000000" w:themeColor="text1"/>
          <w:szCs w:val="21"/>
          <w14:textFill>
            <w14:solidFill>
              <w14:schemeClr w14:val="tx1"/>
            </w14:solidFill>
          </w14:textFill>
        </w:rPr>
      </w:pPr>
      <w:r>
        <w:rPr>
          <w:rFonts w:hint="eastAsia"/>
        </w:rPr>
        <w:t>7</w:t>
      </w:r>
      <w:r>
        <w:t>、若合格</w:t>
      </w:r>
      <w:r>
        <w:rPr>
          <w:rFonts w:hint="eastAsia"/>
        </w:rPr>
        <w:t>供应商</w:t>
      </w:r>
      <w:r>
        <w:t>不足三家的，本项目作废，项目的延期报名与采购时间将另行通知。</w:t>
      </w:r>
    </w:p>
    <w:p w14:paraId="6725D189">
      <w:pPr>
        <w:widowControl/>
        <w:spacing w:line="384" w:lineRule="auto"/>
        <w:jc w:val="left"/>
        <w:rPr>
          <w:color w:val="000000" w:themeColor="text1"/>
          <w:szCs w:val="21"/>
          <w14:textFill>
            <w14:solidFill>
              <w14:schemeClr w14:val="tx1"/>
            </w14:solidFill>
          </w14:textFill>
        </w:rPr>
      </w:pPr>
    </w:p>
    <w:p w14:paraId="7AA405C2">
      <w:pPr>
        <w:widowControl/>
        <w:spacing w:line="384" w:lineRule="auto"/>
        <w:jc w:val="left"/>
        <w:rPr>
          <w:sz w:val="24"/>
        </w:rPr>
      </w:pPr>
      <w:r>
        <w:rPr>
          <w:rFonts w:hint="eastAsia"/>
          <w:b/>
          <w:sz w:val="24"/>
          <w:lang w:eastAsia="zh-CN"/>
        </w:rPr>
        <w:t>四</w:t>
      </w:r>
      <w:r>
        <w:rPr>
          <w:b/>
          <w:sz w:val="24"/>
        </w:rPr>
        <w:t>、验收与付款</w:t>
      </w:r>
    </w:p>
    <w:p w14:paraId="1BB0E034">
      <w:pPr>
        <w:spacing w:line="360" w:lineRule="auto"/>
        <w:ind w:firstLine="420" w:firstLineChars="200"/>
      </w:pPr>
      <w:r>
        <w:t>项目完工验收合格后，凭</w:t>
      </w:r>
      <w:r>
        <w:rPr>
          <w:rFonts w:hint="eastAsia"/>
        </w:rPr>
        <w:t>成交供应商</w:t>
      </w:r>
      <w:r>
        <w:t>开具的全额发票</w:t>
      </w:r>
      <w:r>
        <w:rPr>
          <w:rFonts w:hint="eastAsia"/>
        </w:rPr>
        <w:t>和验收资料</w:t>
      </w:r>
      <w:r>
        <w:t>，</w:t>
      </w:r>
      <w:r>
        <w:rPr>
          <w:rFonts w:hint="eastAsia"/>
        </w:rPr>
        <w:t>采购</w:t>
      </w:r>
      <w:r>
        <w:t>人于60</w:t>
      </w:r>
      <w:r>
        <w:rPr>
          <w:rFonts w:hint="eastAsia"/>
        </w:rPr>
        <w:t>个自然日</w:t>
      </w:r>
      <w:r>
        <w:t>内支付合同款项。</w:t>
      </w:r>
    </w:p>
    <w:p w14:paraId="03B63054">
      <w:pPr>
        <w:widowControl/>
        <w:spacing w:line="360" w:lineRule="auto"/>
        <w:jc w:val="left"/>
        <w:rPr>
          <w:b/>
          <w:sz w:val="24"/>
        </w:rPr>
      </w:pPr>
    </w:p>
    <w:p w14:paraId="24582D35">
      <w:pPr>
        <w:widowControl/>
        <w:spacing w:line="360" w:lineRule="auto"/>
        <w:jc w:val="left"/>
        <w:rPr>
          <w:sz w:val="24"/>
        </w:rPr>
      </w:pPr>
      <w:r>
        <w:rPr>
          <w:rFonts w:hint="eastAsia"/>
          <w:b/>
          <w:sz w:val="24"/>
          <w:lang w:eastAsia="zh-CN"/>
        </w:rPr>
        <w:t>五</w:t>
      </w:r>
      <w:r>
        <w:rPr>
          <w:b/>
          <w:sz w:val="24"/>
        </w:rPr>
        <w:t>、</w:t>
      </w:r>
      <w:r>
        <w:rPr>
          <w:rFonts w:hint="eastAsia"/>
          <w:b/>
          <w:sz w:val="24"/>
        </w:rPr>
        <w:t>响应文件</w:t>
      </w:r>
    </w:p>
    <w:p w14:paraId="54433BD6">
      <w:pPr>
        <w:spacing w:line="360" w:lineRule="auto"/>
        <w:ind w:firstLine="525" w:firstLineChars="250"/>
      </w:pPr>
      <w:r>
        <w:t>1、</w:t>
      </w:r>
      <w:r>
        <w:rPr>
          <w:rFonts w:hint="eastAsia"/>
        </w:rPr>
        <w:t>响应</w:t>
      </w:r>
      <w:r>
        <w:t>文件一</w:t>
      </w:r>
      <w:r>
        <w:rPr>
          <w:rFonts w:hint="eastAsia"/>
        </w:rPr>
        <w:t>正</w:t>
      </w:r>
      <w:r>
        <w:rPr>
          <w:rFonts w:hint="eastAsia"/>
          <w:lang w:eastAsia="zh-CN"/>
        </w:rPr>
        <w:t>五</w:t>
      </w:r>
      <w:r>
        <w:rPr>
          <w:rFonts w:hint="eastAsia"/>
        </w:rPr>
        <w:t>副</w:t>
      </w:r>
      <w:r>
        <w:t>，</w:t>
      </w:r>
      <w:r>
        <w:rPr>
          <w:rFonts w:hint="eastAsia"/>
        </w:rPr>
        <w:t>正本</w:t>
      </w:r>
      <w:r>
        <w:t>须加盖</w:t>
      </w:r>
      <w:r>
        <w:rPr>
          <w:rFonts w:hint="eastAsia"/>
        </w:rPr>
        <w:t>响应</w:t>
      </w:r>
      <w:r>
        <w:t xml:space="preserve">单位公章。 </w:t>
      </w:r>
    </w:p>
    <w:p w14:paraId="6567AEB6">
      <w:pPr>
        <w:spacing w:line="360" w:lineRule="auto"/>
        <w:ind w:firstLine="420" w:firstLineChars="200"/>
      </w:pPr>
      <w:r>
        <w:t xml:space="preserve"> 2、</w:t>
      </w:r>
      <w:r>
        <w:rPr>
          <w:rFonts w:hint="eastAsia"/>
        </w:rPr>
        <w:t>响应</w:t>
      </w:r>
      <w:r>
        <w:t>文件应包括但不限于以下部分：</w:t>
      </w:r>
    </w:p>
    <w:p w14:paraId="23E15CB7">
      <w:pPr>
        <w:widowControl/>
        <w:numPr>
          <w:ilvl w:val="0"/>
          <w:numId w:val="2"/>
        </w:numPr>
        <w:spacing w:line="360" w:lineRule="auto"/>
        <w:ind w:firstLine="730"/>
        <w:jc w:val="left"/>
      </w:pPr>
      <w:r>
        <w:t>法定代表人证明书；</w:t>
      </w:r>
    </w:p>
    <w:p w14:paraId="1C819D66">
      <w:pPr>
        <w:widowControl/>
        <w:numPr>
          <w:ilvl w:val="0"/>
          <w:numId w:val="2"/>
        </w:numPr>
        <w:spacing w:line="360" w:lineRule="auto"/>
        <w:ind w:firstLine="730"/>
        <w:jc w:val="left"/>
      </w:pPr>
      <w:r>
        <w:t>法定代表人授权委托书；</w:t>
      </w:r>
    </w:p>
    <w:p w14:paraId="2E21720C">
      <w:pPr>
        <w:widowControl/>
        <w:numPr>
          <w:ilvl w:val="0"/>
          <w:numId w:val="2"/>
        </w:numPr>
        <w:spacing w:line="360" w:lineRule="auto"/>
        <w:ind w:firstLine="730"/>
        <w:jc w:val="left"/>
      </w:pPr>
      <w:r>
        <w:t>“信用中国”网站（www.creditchina.gov.cn）、中国政府采购网（www.ccgp.gov.cn）的信用记录查询结果打印页面；</w:t>
      </w:r>
    </w:p>
    <w:p w14:paraId="5CDED3E8">
      <w:pPr>
        <w:widowControl/>
        <w:numPr>
          <w:ilvl w:val="0"/>
          <w:numId w:val="2"/>
        </w:numPr>
        <w:spacing w:line="360" w:lineRule="auto"/>
        <w:ind w:firstLine="730"/>
        <w:jc w:val="left"/>
      </w:pPr>
      <w:r>
        <w:t>无围标、串标行为承诺书；</w:t>
      </w:r>
    </w:p>
    <w:p w14:paraId="1FB995BF">
      <w:pPr>
        <w:widowControl/>
        <w:numPr>
          <w:ilvl w:val="0"/>
          <w:numId w:val="2"/>
        </w:numPr>
        <w:spacing w:line="360" w:lineRule="auto"/>
        <w:ind w:firstLine="730"/>
        <w:jc w:val="left"/>
      </w:pPr>
      <w:r>
        <w:t>无违法违纪行为承诺书；</w:t>
      </w:r>
    </w:p>
    <w:p w14:paraId="1828D939">
      <w:pPr>
        <w:widowControl/>
        <w:numPr>
          <w:ilvl w:val="0"/>
          <w:numId w:val="2"/>
        </w:numPr>
        <w:spacing w:line="360" w:lineRule="auto"/>
        <w:ind w:firstLine="730"/>
        <w:jc w:val="left"/>
      </w:pPr>
      <w:r>
        <w:rPr>
          <w:rFonts w:hint="eastAsia"/>
        </w:rPr>
        <w:t>供应商</w:t>
      </w:r>
      <w:r>
        <w:t>概况</w:t>
      </w:r>
      <w:r>
        <w:rPr>
          <w:rFonts w:hint="eastAsia"/>
        </w:rPr>
        <w:t>、</w:t>
      </w:r>
      <w:r>
        <w:t>资质、业绩；</w:t>
      </w:r>
    </w:p>
    <w:p w14:paraId="66492754">
      <w:pPr>
        <w:widowControl/>
        <w:numPr>
          <w:ilvl w:val="0"/>
          <w:numId w:val="2"/>
        </w:numPr>
        <w:spacing w:line="360" w:lineRule="auto"/>
        <w:ind w:firstLine="730"/>
        <w:jc w:val="left"/>
      </w:pPr>
      <w:r>
        <w:rPr>
          <w:rFonts w:hint="eastAsia"/>
        </w:rPr>
        <w:t>产品简介；</w:t>
      </w:r>
    </w:p>
    <w:p w14:paraId="182A7B36">
      <w:pPr>
        <w:widowControl/>
        <w:numPr>
          <w:ilvl w:val="0"/>
          <w:numId w:val="2"/>
        </w:numPr>
        <w:spacing w:line="360" w:lineRule="auto"/>
        <w:ind w:firstLine="730"/>
        <w:jc w:val="left"/>
      </w:pPr>
      <w:r>
        <w:t>项目服务人员配置；</w:t>
      </w:r>
    </w:p>
    <w:p w14:paraId="62D9612C">
      <w:pPr>
        <w:widowControl/>
        <w:numPr>
          <w:ilvl w:val="0"/>
          <w:numId w:val="2"/>
        </w:numPr>
        <w:spacing w:line="360" w:lineRule="auto"/>
        <w:ind w:firstLine="730"/>
        <w:jc w:val="left"/>
      </w:pPr>
      <w:r>
        <w:t>项目实施方案；</w:t>
      </w:r>
    </w:p>
    <w:p w14:paraId="2875C58F">
      <w:pPr>
        <w:widowControl/>
        <w:numPr>
          <w:ilvl w:val="0"/>
          <w:numId w:val="2"/>
        </w:numPr>
        <w:spacing w:line="360" w:lineRule="auto"/>
        <w:ind w:firstLine="730"/>
        <w:jc w:val="left"/>
      </w:pPr>
      <w:r>
        <w:t>报价</w:t>
      </w:r>
      <w:r>
        <w:rPr>
          <w:rFonts w:hint="eastAsia"/>
        </w:rPr>
        <w:t>；</w:t>
      </w:r>
    </w:p>
    <w:p w14:paraId="48F6D0FB">
      <w:pPr>
        <w:widowControl/>
        <w:spacing w:line="360" w:lineRule="auto"/>
        <w:jc w:val="left"/>
        <w:rPr>
          <w:b/>
          <w:sz w:val="24"/>
        </w:rPr>
      </w:pPr>
    </w:p>
    <w:p w14:paraId="2D0F897C">
      <w:pPr>
        <w:widowControl/>
        <w:spacing w:line="360" w:lineRule="auto"/>
        <w:jc w:val="left"/>
        <w:rPr>
          <w:b/>
          <w:sz w:val="24"/>
        </w:rPr>
      </w:pPr>
      <w:r>
        <w:rPr>
          <w:rFonts w:hint="eastAsia"/>
          <w:b/>
          <w:sz w:val="24"/>
          <w:lang w:eastAsia="zh-CN"/>
        </w:rPr>
        <w:t>六</w:t>
      </w:r>
      <w:r>
        <w:rPr>
          <w:b/>
          <w:sz w:val="24"/>
        </w:rPr>
        <w:t>、</w:t>
      </w:r>
      <w:r>
        <w:rPr>
          <w:rFonts w:hint="eastAsia"/>
          <w:b/>
          <w:sz w:val="24"/>
        </w:rPr>
        <w:t>评审</w:t>
      </w:r>
    </w:p>
    <w:p w14:paraId="08A34314">
      <w:pPr>
        <w:widowControl/>
        <w:autoSpaceDE w:val="0"/>
        <w:autoSpaceDN w:val="0"/>
        <w:spacing w:line="336" w:lineRule="auto"/>
        <w:ind w:right="34"/>
        <w:jc w:val="left"/>
        <w:rPr>
          <w:b/>
          <w:sz w:val="24"/>
        </w:rPr>
      </w:pPr>
      <w:r>
        <w:rPr>
          <w:b/>
          <w:sz w:val="24"/>
        </w:rPr>
        <w:t>1、总则</w:t>
      </w:r>
    </w:p>
    <w:p w14:paraId="67CBF2C4">
      <w:pPr>
        <w:spacing w:line="360" w:lineRule="auto"/>
        <w:ind w:firstLine="420" w:firstLineChars="200"/>
        <w:rPr>
          <w:highlight w:val="none"/>
        </w:rPr>
      </w:pPr>
      <w:r>
        <w:t>（1）本项目采用综合评分法进行评</w:t>
      </w:r>
      <w:r>
        <w:rPr>
          <w:highlight w:val="none"/>
        </w:rPr>
        <w:t>审，商务技术分</w:t>
      </w:r>
      <w:r>
        <w:rPr>
          <w:rFonts w:hint="eastAsia"/>
          <w:highlight w:val="none"/>
          <w:lang w:val="en-US" w:eastAsia="zh-CN"/>
        </w:rPr>
        <w:t>70</w:t>
      </w:r>
      <w:r>
        <w:rPr>
          <w:highlight w:val="none"/>
        </w:rPr>
        <w:t>分，价格分</w:t>
      </w:r>
      <w:r>
        <w:rPr>
          <w:rFonts w:hint="eastAsia"/>
          <w:highlight w:val="none"/>
          <w:lang w:val="en-US" w:eastAsia="zh-CN"/>
        </w:rPr>
        <w:t>30</w:t>
      </w:r>
      <w:r>
        <w:rPr>
          <w:highlight w:val="none"/>
        </w:rPr>
        <w:t>分。</w:t>
      </w:r>
    </w:p>
    <w:p w14:paraId="0590C412">
      <w:pPr>
        <w:spacing w:line="360" w:lineRule="auto"/>
        <w:ind w:firstLine="420" w:firstLineChars="200"/>
      </w:pPr>
      <w:r>
        <w:t>（2）各项评分均按四舍五入原则取值并保留小数点后两位有效数字。</w:t>
      </w:r>
    </w:p>
    <w:p w14:paraId="67DF01DB">
      <w:pPr>
        <w:spacing w:line="360" w:lineRule="auto"/>
        <w:ind w:firstLine="420" w:firstLineChars="200"/>
      </w:pPr>
      <w:r>
        <w:t>（3）将各供应商的商务技术评分和价格评分相加得出其综合得分，出现综合总得分并列时，</w:t>
      </w:r>
      <w:r>
        <w:rPr>
          <w:rFonts w:hint="eastAsia"/>
        </w:rPr>
        <w:t>总报价</w:t>
      </w:r>
      <w:r>
        <w:t>低的供应商名次靠前。</w:t>
      </w:r>
    </w:p>
    <w:p w14:paraId="1F55DC86">
      <w:pPr>
        <w:spacing w:line="360" w:lineRule="auto"/>
        <w:ind w:firstLine="420" w:firstLineChars="200"/>
      </w:pPr>
      <w:r>
        <w:t>（4）本项目</w:t>
      </w:r>
      <w:r>
        <w:rPr>
          <w:rFonts w:hint="eastAsia"/>
          <w:lang w:val="en-US" w:eastAsia="zh-CN"/>
        </w:rPr>
        <w:t>评审</w:t>
      </w:r>
      <w:r>
        <w:t>委员会将根据综合得分由高到低顺序排列，按</w:t>
      </w:r>
      <w:r>
        <w:rPr>
          <w:rFonts w:hint="eastAsia"/>
        </w:rPr>
        <w:t>顺</w:t>
      </w:r>
      <w:r>
        <w:t>序推荐三位供应商候选人，如果第一候选人因故不能履约的，</w:t>
      </w:r>
      <w:r>
        <w:rPr>
          <w:rFonts w:hint="eastAsia"/>
        </w:rPr>
        <w:t>采购</w:t>
      </w:r>
      <w:r>
        <w:t>人可以确定第二候选人为</w:t>
      </w:r>
      <w:r>
        <w:rPr>
          <w:rFonts w:hint="eastAsia"/>
        </w:rPr>
        <w:t>成交供应商</w:t>
      </w:r>
      <w:r>
        <w:t>，也可以重新展开</w:t>
      </w:r>
      <w:r>
        <w:rPr>
          <w:rFonts w:hint="eastAsia"/>
        </w:rPr>
        <w:t>采购</w:t>
      </w:r>
      <w:r>
        <w:t>，以此类推。</w:t>
      </w:r>
    </w:p>
    <w:p w14:paraId="18FFDE63">
      <w:pPr>
        <w:widowControl/>
        <w:autoSpaceDE w:val="0"/>
        <w:autoSpaceDN w:val="0"/>
        <w:spacing w:line="336" w:lineRule="auto"/>
        <w:ind w:right="34"/>
        <w:jc w:val="left"/>
        <w:rPr>
          <w:b/>
          <w:sz w:val="24"/>
        </w:rPr>
      </w:pPr>
      <w:r>
        <w:rPr>
          <w:b/>
          <w:sz w:val="24"/>
        </w:rPr>
        <w:t>2、商务技术评分</w:t>
      </w:r>
    </w:p>
    <w:p w14:paraId="338F46BF">
      <w:pPr>
        <w:spacing w:line="360" w:lineRule="auto"/>
        <w:ind w:firstLine="420" w:firstLineChars="200"/>
      </w:pPr>
      <w:r>
        <w:t>评审内容及评分细则如下：</w:t>
      </w:r>
    </w:p>
    <w:tbl>
      <w:tblPr>
        <w:tblStyle w:val="11"/>
        <w:tblW w:w="8698" w:type="dxa"/>
        <w:jc w:val="right"/>
        <w:tblLayout w:type="fixed"/>
        <w:tblCellMar>
          <w:top w:w="0" w:type="dxa"/>
          <w:left w:w="0" w:type="dxa"/>
          <w:bottom w:w="0" w:type="dxa"/>
          <w:right w:w="0" w:type="dxa"/>
        </w:tblCellMar>
      </w:tblPr>
      <w:tblGrid>
        <w:gridCol w:w="710"/>
        <w:gridCol w:w="1417"/>
        <w:gridCol w:w="851"/>
        <w:gridCol w:w="5720"/>
      </w:tblGrid>
      <w:tr w14:paraId="2194F436">
        <w:tblPrEx>
          <w:tblCellMar>
            <w:top w:w="0" w:type="dxa"/>
            <w:left w:w="0" w:type="dxa"/>
            <w:bottom w:w="0" w:type="dxa"/>
            <w:right w:w="0" w:type="dxa"/>
          </w:tblCellMar>
        </w:tblPrEx>
        <w:trPr>
          <w:trHeight w:val="643" w:hRule="atLeast"/>
          <w:jc w:val="right"/>
        </w:trPr>
        <w:tc>
          <w:tcPr>
            <w:tcW w:w="869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47F975">
            <w:pPr>
              <w:widowControl/>
              <w:jc w:val="center"/>
              <w:rPr>
                <w:b/>
                <w:highlight w:val="none"/>
              </w:rPr>
            </w:pPr>
            <w:r>
              <w:rPr>
                <w:b/>
                <w:sz w:val="24"/>
                <w:highlight w:val="none"/>
              </w:rPr>
              <w:t>商务技术评审表</w:t>
            </w:r>
            <w:r>
              <w:rPr>
                <w:rFonts w:hint="eastAsia"/>
                <w:b/>
                <w:sz w:val="24"/>
                <w:highlight w:val="none"/>
              </w:rPr>
              <w:t>(总分</w:t>
            </w:r>
            <w:r>
              <w:rPr>
                <w:rFonts w:hint="eastAsia"/>
                <w:b/>
                <w:sz w:val="24"/>
                <w:highlight w:val="none"/>
                <w:lang w:val="en-US" w:eastAsia="zh-CN"/>
              </w:rPr>
              <w:t>70</w:t>
            </w:r>
            <w:r>
              <w:rPr>
                <w:rFonts w:hint="eastAsia"/>
                <w:b/>
                <w:sz w:val="24"/>
                <w:highlight w:val="none"/>
              </w:rPr>
              <w:t>分)</w:t>
            </w:r>
          </w:p>
        </w:tc>
      </w:tr>
      <w:tr w14:paraId="3712EB22">
        <w:tblPrEx>
          <w:tblCellMar>
            <w:top w:w="0" w:type="dxa"/>
            <w:left w:w="0" w:type="dxa"/>
            <w:bottom w:w="0" w:type="dxa"/>
            <w:right w:w="0" w:type="dxa"/>
          </w:tblCellMar>
        </w:tblPrEx>
        <w:trPr>
          <w:trHeight w:val="662"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2AB8E6">
            <w:pPr>
              <w:widowControl/>
              <w:jc w:val="center"/>
              <w:rPr>
                <w:b/>
              </w:rPr>
            </w:pPr>
            <w:r>
              <w:rPr>
                <w:b/>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7ABA8B">
            <w:pPr>
              <w:widowControl/>
              <w:jc w:val="center"/>
              <w:rPr>
                <w:b/>
              </w:rPr>
            </w:pPr>
            <w:r>
              <w:rPr>
                <w:b/>
              </w:rPr>
              <w:t>评审内容</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05446DC">
            <w:pPr>
              <w:widowControl/>
              <w:jc w:val="center"/>
              <w:rPr>
                <w:b/>
              </w:rPr>
            </w:pPr>
            <w:r>
              <w:rPr>
                <w:b/>
              </w:rPr>
              <w:t>分值</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811282">
            <w:pPr>
              <w:widowControl/>
              <w:jc w:val="center"/>
              <w:rPr>
                <w:b/>
              </w:rPr>
            </w:pPr>
            <w:r>
              <w:rPr>
                <w:b/>
              </w:rPr>
              <w:t>评分细则</w:t>
            </w:r>
          </w:p>
        </w:tc>
      </w:tr>
      <w:tr w14:paraId="418457A7">
        <w:tblPrEx>
          <w:tblCellMar>
            <w:top w:w="0" w:type="dxa"/>
            <w:left w:w="0" w:type="dxa"/>
            <w:bottom w:w="0" w:type="dxa"/>
            <w:right w:w="0" w:type="dxa"/>
          </w:tblCellMar>
        </w:tblPrEx>
        <w:trPr>
          <w:trHeight w:val="1016"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737232">
            <w:pPr>
              <w:widowControl/>
              <w:jc w:val="center"/>
            </w:pPr>
            <w:r>
              <w:rPr>
                <w:rFonts w:hint="eastAsia"/>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3012A3">
            <w:pPr>
              <w:widowControl/>
              <w:jc w:val="center"/>
            </w:pPr>
            <w:r>
              <w:rPr>
                <w:rFonts w:hint="eastAsia"/>
              </w:rPr>
              <w:t>商务技术响应情况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448BD6">
            <w:pPr>
              <w:widowControl/>
              <w:spacing w:line="276" w:lineRule="auto"/>
              <w:jc w:val="center"/>
            </w:pPr>
            <w:r>
              <w:rPr>
                <w:rFonts w:hint="eastAsia"/>
              </w:rPr>
              <w:t>10分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89A5DD">
            <w:pPr>
              <w:widowControl/>
              <w:ind w:right="-34"/>
              <w:jc w:val="left"/>
            </w:pPr>
            <w:r>
              <w:rPr>
                <w:rFonts w:hint="eastAsia"/>
              </w:rPr>
              <w:t>根据响应文件对“项目要</w:t>
            </w:r>
            <w:r>
              <w:rPr>
                <w:rFonts w:hint="eastAsia"/>
                <w:lang w:val="en-US" w:eastAsia="zh-CN"/>
              </w:rPr>
              <w:t>求响应表</w:t>
            </w:r>
            <w:r>
              <w:rPr>
                <w:rFonts w:hint="eastAsia"/>
              </w:rPr>
              <w:t>”</w:t>
            </w:r>
            <w:r>
              <w:rPr>
                <w:rFonts w:hint="eastAsia"/>
                <w:lang w:val="en-US" w:eastAsia="zh-CN"/>
              </w:rPr>
              <w:t>中“</w:t>
            </w:r>
            <w:r>
              <w:rPr>
                <w:rFonts w:hint="eastAsia" w:ascii="宋体" w:hAnsi="宋体"/>
                <w:b/>
                <w:bCs/>
                <w:szCs w:val="21"/>
              </w:rPr>
              <w:t>用户需求条款</w:t>
            </w:r>
            <w:r>
              <w:rPr>
                <w:rFonts w:hint="eastAsia"/>
                <w:lang w:val="en-US" w:eastAsia="zh-CN"/>
              </w:rPr>
              <w:t>”</w:t>
            </w:r>
            <w:r>
              <w:rPr>
                <w:rFonts w:hint="eastAsia"/>
              </w:rPr>
              <w:t>的响应情况进行评审：完全响应或优于的，得10分；每负偏离一</w:t>
            </w:r>
            <w:r>
              <w:rPr>
                <w:rFonts w:hint="eastAsia"/>
                <w:lang w:eastAsia="zh-CN"/>
              </w:rPr>
              <w:t>小</w:t>
            </w:r>
            <w:r>
              <w:rPr>
                <w:rFonts w:hint="eastAsia"/>
              </w:rPr>
              <w:t>项扣2分，扣完为止。</w:t>
            </w:r>
          </w:p>
          <w:p w14:paraId="66F81837">
            <w:pPr>
              <w:widowControl/>
              <w:ind w:right="-34"/>
              <w:jc w:val="left"/>
            </w:pPr>
            <w:r>
              <w:rPr>
                <w:rFonts w:hint="eastAsia"/>
              </w:rPr>
              <w:t>注：未提供“项目要求响应表”的不得分。</w:t>
            </w:r>
          </w:p>
        </w:tc>
      </w:tr>
      <w:tr w14:paraId="5501E86B">
        <w:tblPrEx>
          <w:tblCellMar>
            <w:top w:w="0" w:type="dxa"/>
            <w:left w:w="0" w:type="dxa"/>
            <w:bottom w:w="0" w:type="dxa"/>
            <w:right w:w="0" w:type="dxa"/>
          </w:tblCellMar>
        </w:tblPrEx>
        <w:trPr>
          <w:trHeight w:val="98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009953">
            <w:pPr>
              <w:widowControl/>
              <w:jc w:val="center"/>
            </w:pPr>
            <w:r>
              <w:rPr>
                <w:rFonts w:hint="eastAsia"/>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7ECD42">
            <w:pPr>
              <w:widowControl/>
              <w:jc w:val="center"/>
            </w:pPr>
            <w:r>
              <w:rPr>
                <w:rFonts w:hint="eastAsia"/>
              </w:rPr>
              <w:t>公司综合实力</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EBB76B">
            <w:pPr>
              <w:widowControl/>
              <w:spacing w:line="276" w:lineRule="auto"/>
              <w:jc w:val="center"/>
            </w:pPr>
            <w:r>
              <w:rPr>
                <w:rFonts w:hint="eastAsia"/>
                <w:lang w:val="en-US" w:eastAsia="zh-CN"/>
              </w:rPr>
              <w:t>10</w:t>
            </w:r>
            <w: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A87371">
            <w:pPr>
              <w:widowControl/>
              <w:ind w:right="-34"/>
              <w:jc w:val="left"/>
            </w:pPr>
            <w:r>
              <w:rPr>
                <w:rFonts w:hint="eastAsia"/>
              </w:rPr>
              <w:t>从供应商的资质、技术团队力量等方面进行评审：</w:t>
            </w:r>
          </w:p>
          <w:p w14:paraId="46D2C5A3">
            <w:pPr>
              <w:widowControl/>
              <w:ind w:right="-34"/>
              <w:jc w:val="left"/>
              <w:rPr>
                <w:rFonts w:ascii="宋体" w:cs="宋体"/>
                <w:szCs w:val="21"/>
              </w:rPr>
            </w:pPr>
            <w:r>
              <w:t>1</w:t>
            </w:r>
            <w:r>
              <w:rPr>
                <w:rFonts w:hint="eastAsia"/>
              </w:rPr>
              <w:t>、供应商</w:t>
            </w:r>
            <w:r>
              <w:rPr>
                <w:rFonts w:hint="eastAsia" w:ascii="宋体" w:hAnsi="宋体" w:cs="宋体"/>
                <w:szCs w:val="21"/>
              </w:rPr>
              <w:t>综合实力强，项目经验丰富、人员安排合理，得</w:t>
            </w:r>
            <w:r>
              <w:rPr>
                <w:rFonts w:hint="eastAsia" w:ascii="宋体" w:hAnsi="宋体" w:cs="宋体"/>
                <w:szCs w:val="21"/>
                <w:lang w:val="en-US" w:eastAsia="zh-CN"/>
              </w:rPr>
              <w:t>10</w:t>
            </w:r>
            <w:r>
              <w:rPr>
                <w:rFonts w:hint="eastAsia" w:ascii="宋体" w:hAnsi="宋体" w:cs="宋体"/>
                <w:szCs w:val="21"/>
              </w:rPr>
              <w:t>分；</w:t>
            </w:r>
          </w:p>
          <w:p w14:paraId="55B70248">
            <w:pPr>
              <w:widowControl/>
              <w:ind w:right="-34"/>
              <w:jc w:val="left"/>
              <w:rPr>
                <w:rFonts w:ascii="宋体" w:cs="宋体"/>
                <w:szCs w:val="21"/>
              </w:rPr>
            </w:pPr>
            <w:r>
              <w:t>2</w:t>
            </w:r>
            <w:r>
              <w:rPr>
                <w:rFonts w:hint="eastAsia"/>
              </w:rPr>
              <w:t>、供应商</w:t>
            </w:r>
            <w:r>
              <w:rPr>
                <w:rFonts w:hint="eastAsia" w:ascii="宋体" w:hAnsi="宋体" w:cs="宋体"/>
                <w:szCs w:val="21"/>
              </w:rPr>
              <w:t>综合实力较强，项目经验较丰富、人员安排较合理，得</w:t>
            </w:r>
            <w:r>
              <w:rPr>
                <w:rFonts w:hint="eastAsia" w:ascii="宋体" w:hAnsi="宋体" w:cs="宋体"/>
                <w:szCs w:val="21"/>
                <w:lang w:val="en-US" w:eastAsia="zh-CN"/>
              </w:rPr>
              <w:t>6</w:t>
            </w:r>
            <w:r>
              <w:rPr>
                <w:rFonts w:hint="eastAsia" w:ascii="宋体" w:hAnsi="宋体" w:cs="宋体"/>
                <w:szCs w:val="21"/>
              </w:rPr>
              <w:t>分；</w:t>
            </w:r>
          </w:p>
          <w:p w14:paraId="2A3DE2EB">
            <w:pPr>
              <w:widowControl/>
              <w:ind w:right="-34"/>
              <w:jc w:val="left"/>
              <w:rPr>
                <w:rFonts w:ascii="宋体" w:cs="宋体"/>
                <w:szCs w:val="21"/>
              </w:rPr>
            </w:pPr>
            <w:r>
              <w:t>3</w:t>
            </w:r>
            <w:r>
              <w:rPr>
                <w:rFonts w:hint="eastAsia"/>
              </w:rPr>
              <w:t>、供应商</w:t>
            </w:r>
            <w:r>
              <w:rPr>
                <w:rFonts w:hint="eastAsia" w:ascii="宋体" w:hAnsi="宋体" w:cs="宋体"/>
                <w:szCs w:val="21"/>
              </w:rPr>
              <w:t>综合实力及项目团队力量基本能满足项目要求，得</w:t>
            </w:r>
            <w:r>
              <w:rPr>
                <w:rFonts w:hint="eastAsia" w:ascii="宋体" w:hAnsi="宋体" w:cs="宋体"/>
                <w:szCs w:val="21"/>
                <w:lang w:val="en-US" w:eastAsia="zh-CN"/>
              </w:rPr>
              <w:t>4</w:t>
            </w:r>
            <w:r>
              <w:rPr>
                <w:rFonts w:hint="eastAsia" w:ascii="宋体" w:hAnsi="宋体" w:cs="宋体"/>
                <w:szCs w:val="21"/>
              </w:rPr>
              <w:t>分；</w:t>
            </w:r>
          </w:p>
          <w:p w14:paraId="7D45DA94">
            <w:pPr>
              <w:widowControl/>
              <w:ind w:right="-34"/>
              <w:jc w:val="left"/>
            </w:pPr>
            <w:r>
              <w:rPr>
                <w:rFonts w:hint="eastAsia"/>
              </w:rPr>
              <w:t>注：未提供的不得分。</w:t>
            </w:r>
          </w:p>
        </w:tc>
      </w:tr>
      <w:tr w14:paraId="4E54CD4F">
        <w:tblPrEx>
          <w:tblCellMar>
            <w:top w:w="0" w:type="dxa"/>
            <w:left w:w="0" w:type="dxa"/>
            <w:bottom w:w="0" w:type="dxa"/>
            <w:right w:w="0" w:type="dxa"/>
          </w:tblCellMar>
        </w:tblPrEx>
        <w:trPr>
          <w:trHeight w:val="98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000858">
            <w:pPr>
              <w:widowControl/>
              <w:jc w:val="center"/>
            </w:pPr>
            <w:r>
              <w:rPr>
                <w:rFonts w:hint="eastAsia"/>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B8ECF4">
            <w:pPr>
              <w:widowControl/>
              <w:spacing w:line="276" w:lineRule="auto"/>
              <w:jc w:val="center"/>
            </w:pPr>
            <w:r>
              <w:t>业绩</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E55AA4">
            <w:pPr>
              <w:widowControl/>
              <w:spacing w:line="276" w:lineRule="auto"/>
              <w:jc w:val="center"/>
            </w:pPr>
            <w:r>
              <w:rPr>
                <w:rFonts w:hint="eastAsia"/>
                <w:lang w:val="en-US" w:eastAsia="zh-CN"/>
              </w:rPr>
              <w:t>10</w:t>
            </w:r>
            <w: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4CE7DB">
            <w:pPr>
              <w:widowControl/>
              <w:ind w:right="-34"/>
              <w:jc w:val="left"/>
            </w:pPr>
            <w:r>
              <w:t>20</w:t>
            </w:r>
            <w:r>
              <w:rPr>
                <w:rFonts w:hint="eastAsia"/>
                <w:lang w:val="en-US" w:eastAsia="zh-CN"/>
              </w:rPr>
              <w:t>23</w:t>
            </w:r>
            <w:r>
              <w:t>年以来完成同类项目业绩经验，每提供一个业绩得</w:t>
            </w:r>
            <w:r>
              <w:rPr>
                <w:rFonts w:hint="eastAsia"/>
              </w:rPr>
              <w:t>2</w:t>
            </w:r>
            <w:r>
              <w:t>分，满分</w:t>
            </w:r>
            <w:r>
              <w:rPr>
                <w:rFonts w:hint="eastAsia"/>
                <w:lang w:val="en-US" w:eastAsia="zh-CN"/>
              </w:rPr>
              <w:t>10</w:t>
            </w:r>
            <w:r>
              <w:t>分</w:t>
            </w:r>
            <w:r>
              <w:rPr>
                <w:rFonts w:hint="eastAsia"/>
              </w:rPr>
              <w:t>。</w:t>
            </w:r>
            <w:r>
              <w:t>（</w:t>
            </w:r>
            <w:r>
              <w:rPr>
                <w:rFonts w:hint="eastAsia"/>
              </w:rPr>
              <w:t>响应</w:t>
            </w:r>
            <w:r>
              <w:t>文件需提供合同复印件）</w:t>
            </w:r>
          </w:p>
        </w:tc>
      </w:tr>
      <w:tr w14:paraId="03D11737">
        <w:tblPrEx>
          <w:tblCellMar>
            <w:top w:w="0" w:type="dxa"/>
            <w:left w:w="0" w:type="dxa"/>
            <w:bottom w:w="0" w:type="dxa"/>
            <w:right w:w="0" w:type="dxa"/>
          </w:tblCellMar>
        </w:tblPrEx>
        <w:trPr>
          <w:trHeight w:val="98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015CFB">
            <w:pPr>
              <w:widowControl/>
              <w:jc w:val="center"/>
            </w:pPr>
            <w:r>
              <w:rPr>
                <w:rFonts w:hint="eastAsia"/>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1FBB2B">
            <w:pPr>
              <w:spacing w:line="240" w:lineRule="exact"/>
              <w:jc w:val="center"/>
            </w:pPr>
            <w:r>
              <w:rPr>
                <w:rFonts w:hint="eastAsia"/>
              </w:rPr>
              <w:t>项目总体实施方案</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54C69D">
            <w:pPr>
              <w:spacing w:line="240" w:lineRule="exact"/>
              <w:jc w:val="center"/>
            </w:pPr>
            <w:r>
              <w:rPr>
                <w:rFonts w:hint="eastAsia"/>
                <w:lang w:val="en-US" w:eastAsia="zh-CN"/>
              </w:rPr>
              <w:t>15</w:t>
            </w:r>
            <w:r>
              <w:rPr>
                <w:rFonts w:hint="eastAsia"/>
              </w:rP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C18F01">
            <w:pPr>
              <w:widowControl/>
              <w:ind w:right="-34"/>
              <w:jc w:val="left"/>
            </w:pPr>
            <w:r>
              <w:rPr>
                <w:rFonts w:hint="eastAsia"/>
              </w:rPr>
              <w:t>根据供应商所提供项目总体实施方案进行评审，包括但不限于对服务流程、组织落实力度等情况。</w:t>
            </w:r>
          </w:p>
          <w:p w14:paraId="68F67C58">
            <w:pPr>
              <w:widowControl/>
              <w:ind w:right="-34"/>
              <w:jc w:val="left"/>
            </w:pPr>
            <w:r>
              <w:rPr>
                <w:rFonts w:hint="eastAsia"/>
              </w:rPr>
              <w:t>1、项目总体实施方案详细、合理，服务流程详细，组织落实力度强的，得</w:t>
            </w:r>
            <w:r>
              <w:rPr>
                <w:rFonts w:hint="eastAsia"/>
                <w:lang w:val="en-US" w:eastAsia="zh-CN"/>
              </w:rPr>
              <w:t>15</w:t>
            </w:r>
            <w:r>
              <w:rPr>
                <w:rFonts w:hint="eastAsia"/>
              </w:rPr>
              <w:t>分；</w:t>
            </w:r>
          </w:p>
          <w:p w14:paraId="2BD58A54">
            <w:pPr>
              <w:widowControl/>
              <w:ind w:right="-34"/>
              <w:jc w:val="left"/>
            </w:pPr>
            <w:r>
              <w:rPr>
                <w:rFonts w:hint="eastAsia"/>
              </w:rPr>
              <w:t>2、项目总体实施方案较详细、较合理，服务流程较详细，组织落实力度较强的，得</w:t>
            </w:r>
            <w:r>
              <w:rPr>
                <w:rFonts w:hint="eastAsia"/>
                <w:lang w:val="en-US" w:eastAsia="zh-CN"/>
              </w:rPr>
              <w:t>13</w:t>
            </w:r>
            <w:r>
              <w:rPr>
                <w:rFonts w:hint="eastAsia"/>
              </w:rPr>
              <w:t>分；</w:t>
            </w:r>
          </w:p>
          <w:p w14:paraId="1B720AA6">
            <w:pPr>
              <w:widowControl/>
              <w:ind w:right="-34"/>
              <w:jc w:val="left"/>
            </w:pPr>
            <w:r>
              <w:rPr>
                <w:rFonts w:hint="eastAsia"/>
              </w:rPr>
              <w:t>3、项目总体实施方案一般详细、一般合理，服务流程一般详细，组织落实力度一般的，得</w:t>
            </w:r>
            <w:r>
              <w:rPr>
                <w:rFonts w:hint="eastAsia"/>
                <w:lang w:val="en-US" w:eastAsia="zh-CN"/>
              </w:rPr>
              <w:t>9</w:t>
            </w:r>
            <w:r>
              <w:rPr>
                <w:rFonts w:hint="eastAsia"/>
              </w:rPr>
              <w:t xml:space="preserve"> 分；</w:t>
            </w:r>
          </w:p>
          <w:p w14:paraId="2B959E3A">
            <w:pPr>
              <w:widowControl/>
              <w:ind w:right="-34"/>
              <w:jc w:val="left"/>
            </w:pPr>
            <w:r>
              <w:rPr>
                <w:rFonts w:hint="eastAsia"/>
                <w:lang w:val="en-US" w:eastAsia="zh-CN"/>
              </w:rPr>
              <w:t>4、</w:t>
            </w:r>
            <w:r>
              <w:rPr>
                <w:rFonts w:hint="eastAsia"/>
              </w:rPr>
              <w:t>没有提供不得分。</w:t>
            </w:r>
          </w:p>
        </w:tc>
      </w:tr>
      <w:tr w14:paraId="074018D3">
        <w:tblPrEx>
          <w:tblCellMar>
            <w:top w:w="0" w:type="dxa"/>
            <w:left w:w="0" w:type="dxa"/>
            <w:bottom w:w="0" w:type="dxa"/>
            <w:right w:w="0" w:type="dxa"/>
          </w:tblCellMar>
        </w:tblPrEx>
        <w:trPr>
          <w:trHeight w:val="140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9EAB1B">
            <w:pPr>
              <w:widowControl/>
              <w:jc w:val="center"/>
            </w:pPr>
            <w:r>
              <w:rPr>
                <w:rFonts w:hint="eastAsia"/>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D0BA03">
            <w:pPr>
              <w:widowControl/>
              <w:jc w:val="center"/>
            </w:pPr>
            <w:r>
              <w:rPr>
                <w:rFonts w:hint="eastAsia"/>
              </w:rPr>
              <w:t>产品选型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C462F7">
            <w:pPr>
              <w:widowControl/>
              <w:spacing w:line="276" w:lineRule="auto"/>
              <w:jc w:val="center"/>
            </w:pPr>
            <w:r>
              <w:rPr>
                <w:rFonts w:hint="eastAsia"/>
              </w:rPr>
              <w:t>10分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39B9F0">
            <w:pPr>
              <w:widowControl/>
              <w:ind w:right="-34"/>
              <w:jc w:val="left"/>
              <w:rPr>
                <w:color w:val="000000"/>
              </w:rPr>
            </w:pPr>
            <w:r>
              <w:rPr>
                <w:rFonts w:hint="eastAsia"/>
                <w:szCs w:val="21"/>
              </w:rPr>
              <w:t>根据供应商提供的产品选型配置、技术优势</w:t>
            </w:r>
            <w:r>
              <w:rPr>
                <w:rFonts w:hint="eastAsia"/>
                <w:color w:val="000000"/>
              </w:rPr>
              <w:t>等方面进行评审：</w:t>
            </w:r>
          </w:p>
          <w:p w14:paraId="5B2D90CB">
            <w:pPr>
              <w:widowControl/>
              <w:ind w:right="-34"/>
              <w:jc w:val="left"/>
            </w:pPr>
            <w:r>
              <w:t>1</w:t>
            </w:r>
            <w:r>
              <w:rPr>
                <w:rFonts w:hint="eastAsia"/>
              </w:rPr>
              <w:t>、产品的选型配置及技术优势高，质量稳定性、耐用性、可维护性好的，得10分；</w:t>
            </w:r>
          </w:p>
          <w:p w14:paraId="672B489E">
            <w:pPr>
              <w:widowControl/>
              <w:ind w:right="-34"/>
              <w:jc w:val="left"/>
            </w:pPr>
            <w:r>
              <w:t>2</w:t>
            </w:r>
            <w:r>
              <w:rPr>
                <w:rFonts w:hint="eastAsia"/>
              </w:rPr>
              <w:t>、产品的选型配置及技术优势较高，质量稳定性、耐用性、可维护性较好的，得7分；</w:t>
            </w:r>
          </w:p>
          <w:p w14:paraId="0E87BC70">
            <w:pPr>
              <w:widowControl/>
              <w:ind w:right="-34"/>
              <w:jc w:val="left"/>
            </w:pPr>
            <w:r>
              <w:t>3</w:t>
            </w:r>
            <w:r>
              <w:rPr>
                <w:rFonts w:hint="eastAsia"/>
              </w:rPr>
              <w:t>、产品设备的选型配置及技术优势一般，质量稳定性、耐用性、可维护性基本能满足项目要求，得</w:t>
            </w:r>
            <w:r>
              <w:t>4</w:t>
            </w:r>
            <w:r>
              <w:rPr>
                <w:rFonts w:hint="eastAsia"/>
              </w:rPr>
              <w:t>分；</w:t>
            </w:r>
          </w:p>
          <w:p w14:paraId="1EAF76AB">
            <w:pPr>
              <w:widowControl/>
              <w:ind w:right="-34"/>
              <w:jc w:val="left"/>
            </w:pPr>
            <w:r>
              <w:rPr>
                <w:rFonts w:hint="eastAsia"/>
                <w:lang w:val="en-US" w:eastAsia="zh-CN"/>
              </w:rPr>
              <w:t>4、</w:t>
            </w:r>
            <w:r>
              <w:rPr>
                <w:rFonts w:hint="eastAsia"/>
              </w:rPr>
              <w:t>注：未提供的不得分。</w:t>
            </w:r>
          </w:p>
        </w:tc>
      </w:tr>
      <w:tr w14:paraId="6083414A">
        <w:tblPrEx>
          <w:tblCellMar>
            <w:top w:w="0" w:type="dxa"/>
            <w:left w:w="0" w:type="dxa"/>
            <w:bottom w:w="0" w:type="dxa"/>
            <w:right w:w="0" w:type="dxa"/>
          </w:tblCellMar>
        </w:tblPrEx>
        <w:trPr>
          <w:trHeight w:val="75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4EB011A">
            <w:pPr>
              <w:widowControl/>
              <w:jc w:val="center"/>
            </w:pPr>
            <w:r>
              <w:rPr>
                <w:rFonts w:hint="eastAsia"/>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F565EA">
            <w:pPr>
              <w:widowControl/>
              <w:jc w:val="center"/>
            </w:pPr>
            <w:r>
              <w:rPr>
                <w:rFonts w:hint="eastAsia"/>
              </w:rPr>
              <w:t>售后服务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10854F">
            <w:pPr>
              <w:widowControl/>
              <w:jc w:val="center"/>
            </w:pPr>
            <w:r>
              <w:rPr>
                <w:rFonts w:hint="eastAsia"/>
                <w:lang w:val="en-US" w:eastAsia="zh-CN"/>
              </w:rPr>
              <w:t>15</w:t>
            </w:r>
            <w:r>
              <w:rPr>
                <w:rFonts w:hint="eastAsia"/>
              </w:rP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C848F0">
            <w:pPr>
              <w:widowControl/>
              <w:ind w:right="-34"/>
              <w:jc w:val="left"/>
            </w:pPr>
            <w:r>
              <w:rPr>
                <w:rFonts w:hint="eastAsia"/>
              </w:rPr>
              <w:t>根据各供应商提供的售后服务计划、响应时间、保障措施进行评审：</w:t>
            </w:r>
          </w:p>
          <w:p w14:paraId="4507B450">
            <w:pPr>
              <w:widowControl/>
              <w:ind w:right="-34"/>
              <w:jc w:val="left"/>
            </w:pPr>
            <w:r>
              <w:t>1</w:t>
            </w:r>
            <w:r>
              <w:rPr>
                <w:rFonts w:hint="eastAsia"/>
              </w:rPr>
              <w:t>、保修时间长，响应快、售后服务计划完善、保障措施到位的，得</w:t>
            </w:r>
            <w:r>
              <w:rPr>
                <w:rFonts w:hint="eastAsia"/>
                <w:lang w:val="en-US" w:eastAsia="zh-CN"/>
              </w:rPr>
              <w:t>15</w:t>
            </w:r>
            <w:r>
              <w:rPr>
                <w:rFonts w:hint="eastAsia"/>
              </w:rPr>
              <w:t>分；</w:t>
            </w:r>
          </w:p>
          <w:p w14:paraId="271743DA">
            <w:pPr>
              <w:widowControl/>
              <w:ind w:right="-34"/>
              <w:jc w:val="left"/>
            </w:pPr>
            <w:r>
              <w:t>2</w:t>
            </w:r>
            <w:r>
              <w:rPr>
                <w:rFonts w:hint="eastAsia"/>
              </w:rPr>
              <w:t>、保修时间较长，响应较快、售后服务计划较完善、保障措施到位的，得</w:t>
            </w:r>
            <w:r>
              <w:rPr>
                <w:rFonts w:hint="eastAsia"/>
                <w:lang w:val="en-US" w:eastAsia="zh-CN"/>
              </w:rPr>
              <w:t>12</w:t>
            </w:r>
            <w:r>
              <w:rPr>
                <w:rFonts w:hint="eastAsia"/>
              </w:rPr>
              <w:t>分；</w:t>
            </w:r>
          </w:p>
          <w:p w14:paraId="378A0027">
            <w:pPr>
              <w:widowControl/>
              <w:ind w:right="-34"/>
              <w:jc w:val="left"/>
            </w:pPr>
            <w:r>
              <w:t>3</w:t>
            </w:r>
            <w:r>
              <w:rPr>
                <w:rFonts w:hint="eastAsia"/>
              </w:rPr>
              <w:t>、保修时间较长，响应速度、售后服务计划和保障措施基本满足项目需求的，得</w:t>
            </w:r>
            <w:r>
              <w:rPr>
                <w:rFonts w:hint="eastAsia"/>
                <w:lang w:val="en-US" w:eastAsia="zh-CN"/>
              </w:rPr>
              <w:t>10</w:t>
            </w:r>
            <w:r>
              <w:rPr>
                <w:rFonts w:hint="eastAsia"/>
              </w:rPr>
              <w:t>分；</w:t>
            </w:r>
          </w:p>
          <w:p w14:paraId="0D33DCBB">
            <w:pPr>
              <w:widowControl/>
              <w:ind w:right="-34" w:firstLine="420"/>
              <w:jc w:val="left"/>
            </w:pPr>
            <w:r>
              <w:rPr>
                <w:rFonts w:hint="eastAsia"/>
              </w:rPr>
              <w:t>注：未提供的不得分。</w:t>
            </w:r>
          </w:p>
        </w:tc>
      </w:tr>
    </w:tbl>
    <w:p w14:paraId="1F7FDC0F">
      <w:pPr>
        <w:widowControl/>
        <w:autoSpaceDE w:val="0"/>
        <w:autoSpaceDN w:val="0"/>
        <w:spacing w:before="156" w:line="360" w:lineRule="auto"/>
        <w:ind w:right="34"/>
        <w:jc w:val="left"/>
        <w:rPr>
          <w:b/>
          <w:sz w:val="24"/>
        </w:rPr>
      </w:pPr>
      <w:r>
        <w:rPr>
          <w:b/>
          <w:sz w:val="24"/>
        </w:rPr>
        <w:t>3、价格评分</w:t>
      </w:r>
    </w:p>
    <w:p w14:paraId="31752798">
      <w:pPr>
        <w:spacing w:line="360" w:lineRule="auto"/>
        <w:ind w:firstLine="420" w:firstLineChars="200"/>
      </w:pPr>
      <w:r>
        <w:t>1、</w:t>
      </w:r>
      <w:r>
        <w:rPr>
          <w:rFonts w:hint="eastAsia"/>
        </w:rPr>
        <w:t>价格</w:t>
      </w:r>
      <w:r>
        <w:t>基准价为满足</w:t>
      </w:r>
      <w:r>
        <w:rPr>
          <w:rFonts w:hint="eastAsia"/>
        </w:rPr>
        <w:t>谈判</w:t>
      </w:r>
      <w:r>
        <w:t>文件要求且价格最低的报价。</w:t>
      </w:r>
    </w:p>
    <w:p w14:paraId="273E275D">
      <w:pPr>
        <w:spacing w:line="360" w:lineRule="auto"/>
        <w:ind w:firstLine="420" w:firstLineChars="200"/>
        <w:rPr>
          <w:rFonts w:hint="default" w:eastAsiaTheme="minorEastAsia"/>
          <w:lang w:val="en-US" w:eastAsia="zh-CN"/>
        </w:rPr>
      </w:pPr>
      <w:r>
        <w:t>2、供应商价格得分＝（</w:t>
      </w:r>
      <w:r>
        <w:rPr>
          <w:rFonts w:hint="eastAsia"/>
        </w:rPr>
        <w:t>价格</w:t>
      </w:r>
      <w:r>
        <w:t>基准价/</w:t>
      </w:r>
      <w:r>
        <w:rPr>
          <w:rFonts w:hint="eastAsia"/>
        </w:rPr>
        <w:t>响应</w:t>
      </w:r>
      <w:r>
        <w:t>报价）×</w:t>
      </w:r>
      <w:r>
        <w:rPr>
          <w:rFonts w:hint="eastAsia"/>
          <w:lang w:val="en-US" w:eastAsia="zh-CN"/>
        </w:rPr>
        <w:t>30</w:t>
      </w:r>
    </w:p>
    <w:p w14:paraId="72D261E6">
      <w:pPr>
        <w:widowControl/>
        <w:spacing w:line="360" w:lineRule="auto"/>
        <w:jc w:val="left"/>
        <w:rPr>
          <w:b/>
          <w:sz w:val="24"/>
        </w:rPr>
      </w:pPr>
      <w:r>
        <w:rPr>
          <w:b/>
          <w:sz w:val="24"/>
        </w:rPr>
        <w:t>4、综合评分</w:t>
      </w:r>
    </w:p>
    <w:p w14:paraId="2A2F63C1">
      <w:pPr>
        <w:spacing w:line="360" w:lineRule="auto"/>
        <w:ind w:firstLine="420" w:firstLineChars="200"/>
      </w:pPr>
      <w:r>
        <w:t>每个供应商的综合得分按以下公式计算：</w:t>
      </w:r>
    </w:p>
    <w:p w14:paraId="0E163524">
      <w:pPr>
        <w:spacing w:line="360" w:lineRule="auto"/>
        <w:ind w:firstLine="420" w:firstLineChars="200"/>
      </w:pPr>
      <w:r>
        <w:t>综合得分＝商务技术得分＋价格得分。</w:t>
      </w:r>
    </w:p>
    <w:p w14:paraId="2D539424">
      <w:pPr>
        <w:widowControl/>
        <w:spacing w:line="360" w:lineRule="auto"/>
        <w:jc w:val="left"/>
        <w:rPr>
          <w:b/>
          <w:sz w:val="24"/>
        </w:rPr>
      </w:pPr>
      <w:r>
        <w:rPr>
          <w:rFonts w:hint="eastAsia"/>
          <w:b/>
          <w:sz w:val="24"/>
          <w:lang w:eastAsia="zh-CN"/>
        </w:rPr>
        <w:t>七</w:t>
      </w:r>
      <w:r>
        <w:rPr>
          <w:b/>
          <w:sz w:val="24"/>
        </w:rPr>
        <w:t>、</w:t>
      </w:r>
      <w:r>
        <w:rPr>
          <w:rFonts w:hint="eastAsia"/>
          <w:b/>
          <w:sz w:val="24"/>
        </w:rPr>
        <w:t>成交供应商的确定</w:t>
      </w:r>
    </w:p>
    <w:p w14:paraId="635F1CFC">
      <w:pPr>
        <w:spacing w:line="360" w:lineRule="auto"/>
        <w:ind w:firstLine="420" w:firstLineChars="200"/>
      </w:pPr>
      <w:r>
        <w:t>1、</w:t>
      </w:r>
      <w:r>
        <w:rPr>
          <w:rFonts w:hint="eastAsia"/>
        </w:rPr>
        <w:t>采购</w:t>
      </w:r>
      <w:r>
        <w:t>结束后，</w:t>
      </w:r>
      <w:r>
        <w:rPr>
          <w:rFonts w:hint="eastAsia"/>
        </w:rPr>
        <w:t>评审</w:t>
      </w:r>
      <w:r>
        <w:t>委员会出具</w:t>
      </w:r>
      <w:r>
        <w:rPr>
          <w:rFonts w:hint="eastAsia"/>
        </w:rPr>
        <w:t>评审</w:t>
      </w:r>
      <w:r>
        <w:t>报告，</w:t>
      </w:r>
      <w:r>
        <w:rPr>
          <w:rFonts w:hint="eastAsia"/>
        </w:rPr>
        <w:t>评审</w:t>
      </w:r>
      <w:r>
        <w:t>结果在中山市</w:t>
      </w:r>
      <w:r>
        <w:rPr>
          <w:rFonts w:hint="eastAsia"/>
          <w:lang w:eastAsia="zh-CN"/>
        </w:rPr>
        <w:t>民众</w:t>
      </w:r>
      <w:r>
        <w:t>医院网站上公示</w:t>
      </w:r>
      <w:r>
        <w:rPr>
          <w:rFonts w:hint="eastAsia"/>
          <w:lang w:val="en-US" w:eastAsia="zh-CN"/>
        </w:rPr>
        <w:t>1</w:t>
      </w:r>
      <w:r>
        <w:t>天。</w:t>
      </w:r>
    </w:p>
    <w:p w14:paraId="16CBB380">
      <w:pPr>
        <w:spacing w:line="360" w:lineRule="auto"/>
        <w:ind w:firstLine="420" w:firstLineChars="200"/>
      </w:pPr>
      <w:r>
        <w:t>2、由</w:t>
      </w:r>
      <w:r>
        <w:rPr>
          <w:rFonts w:hint="eastAsia"/>
        </w:rPr>
        <w:t>采购</w:t>
      </w:r>
      <w:r>
        <w:t>人通知</w:t>
      </w:r>
      <w:r>
        <w:rPr>
          <w:rFonts w:hint="eastAsia"/>
        </w:rPr>
        <w:t>成交供应商</w:t>
      </w:r>
      <w:r>
        <w:t>进行合同签订事宜，</w:t>
      </w:r>
      <w:r>
        <w:rPr>
          <w:rFonts w:hint="eastAsia"/>
        </w:rPr>
        <w:t>其他供应商</w:t>
      </w:r>
      <w:r>
        <w:t>不另行通知。</w:t>
      </w:r>
    </w:p>
    <w:p w14:paraId="1CA79927">
      <w:pPr>
        <w:spacing w:line="360" w:lineRule="auto"/>
        <w:ind w:firstLine="420" w:firstLineChars="200"/>
      </w:pPr>
      <w:r>
        <w:t>3、在签订合同过程中，如发现供应商借他人名义</w:t>
      </w:r>
      <w:r>
        <w:rPr>
          <w:rFonts w:hint="eastAsia"/>
        </w:rPr>
        <w:t>响应</w:t>
      </w:r>
      <w:r>
        <w:t>或者以其他方式弄虚作假，骗取</w:t>
      </w:r>
      <w:r>
        <w:rPr>
          <w:rFonts w:hint="eastAsia"/>
        </w:rPr>
        <w:t>成交</w:t>
      </w:r>
      <w:r>
        <w:t>的，</w:t>
      </w:r>
      <w:r>
        <w:rPr>
          <w:rFonts w:hint="eastAsia"/>
        </w:rPr>
        <w:t>采购</w:t>
      </w:r>
      <w:r>
        <w:t>人有权取消其</w:t>
      </w:r>
      <w:r>
        <w:rPr>
          <w:rFonts w:hint="eastAsia"/>
        </w:rPr>
        <w:t>成交</w:t>
      </w:r>
      <w:r>
        <w:t>资格。</w:t>
      </w:r>
    </w:p>
    <w:p w14:paraId="07CAB8E6">
      <w:pPr>
        <w:spacing w:line="360" w:lineRule="auto"/>
        <w:ind w:firstLine="420" w:firstLineChars="200"/>
      </w:pPr>
      <w:r>
        <w:t>4、如果供应商对此次</w:t>
      </w:r>
      <w:r>
        <w:rPr>
          <w:rFonts w:hint="eastAsia"/>
        </w:rPr>
        <w:t>采购</w:t>
      </w:r>
      <w:r>
        <w:t>活动有疑问，可依法向中山市</w:t>
      </w:r>
      <w:r>
        <w:rPr>
          <w:rFonts w:hint="eastAsia"/>
          <w:lang w:eastAsia="zh-CN"/>
        </w:rPr>
        <w:t>民众</w:t>
      </w:r>
      <w:r>
        <w:t>医院提出质疑，质疑应符合以下条件：</w:t>
      </w:r>
    </w:p>
    <w:p w14:paraId="2C59B517">
      <w:pPr>
        <w:spacing w:line="360" w:lineRule="auto"/>
        <w:ind w:firstLine="420" w:firstLineChars="200"/>
      </w:pPr>
      <w:r>
        <w:t>(1)提出质疑的应是直接参与本</w:t>
      </w:r>
      <w:r>
        <w:rPr>
          <w:rFonts w:hint="eastAsia"/>
        </w:rPr>
        <w:t>采购</w:t>
      </w:r>
      <w:r>
        <w:t>项目的供应商。</w:t>
      </w:r>
    </w:p>
    <w:p w14:paraId="1B94C7C7">
      <w:pPr>
        <w:spacing w:line="360" w:lineRule="auto"/>
        <w:ind w:firstLine="420" w:firstLineChars="200"/>
      </w:pPr>
      <w:r>
        <w:t>(2)质疑必须以书面形式提出，注明质疑的项目名称、</w:t>
      </w:r>
      <w:r>
        <w:rPr>
          <w:rFonts w:hint="eastAsia"/>
        </w:rPr>
        <w:t>采购</w:t>
      </w:r>
      <w:r>
        <w:t>项目编号、质疑供应商的单位名称、详细地址、邮政编码、联系人及联系电话等基本情况。</w:t>
      </w:r>
    </w:p>
    <w:p w14:paraId="7A52FBD9">
      <w:pPr>
        <w:spacing w:line="360" w:lineRule="auto"/>
        <w:ind w:firstLine="420" w:firstLineChars="200"/>
      </w:pPr>
      <w:r>
        <w:t>(3)质疑文件必须由法定代表人签署或经法定代表人授权的代表签署，加盖单位公章，在公示期满前将质疑书原件送抵中山市中医院</w:t>
      </w:r>
      <w:r>
        <w:rPr>
          <w:rFonts w:hint="eastAsia"/>
        </w:rPr>
        <w:t>总务</w:t>
      </w:r>
      <w:r>
        <w:t>部。</w:t>
      </w:r>
    </w:p>
    <w:p w14:paraId="0D554423">
      <w:pPr>
        <w:spacing w:line="360" w:lineRule="auto"/>
        <w:ind w:firstLine="420" w:firstLineChars="200"/>
      </w:pPr>
      <w:r>
        <w:t>(4)有质疑的具体事项、请求及理由，不得含有虚假、恶意成分，并附相关证据材料，所依据的有关法律、法规的名称及条款内容。</w:t>
      </w:r>
    </w:p>
    <w:p w14:paraId="52C7025D">
      <w:pPr>
        <w:spacing w:line="360" w:lineRule="auto"/>
        <w:ind w:firstLine="420" w:firstLineChars="200"/>
      </w:pPr>
      <w:r>
        <w:t>(5)质疑材料中有外文资料的，应一并附上中文译本，</w:t>
      </w:r>
      <w:bookmarkStart w:id="0" w:name="_GoBack"/>
      <w:bookmarkEnd w:id="0"/>
      <w:r>
        <w:t>并以中文译本为准。</w:t>
      </w:r>
    </w:p>
    <w:p w14:paraId="68AC8694">
      <w:pPr>
        <w:widowControl/>
        <w:tabs>
          <w:tab w:val="left" w:pos="5292"/>
        </w:tabs>
        <w:spacing w:line="360" w:lineRule="auto"/>
        <w:jc w:val="left"/>
        <w:rPr>
          <w:b/>
          <w:sz w:val="24"/>
        </w:rPr>
      </w:pPr>
      <w:r>
        <w:rPr>
          <w:rFonts w:hint="eastAsia"/>
          <w:b/>
          <w:sz w:val="24"/>
          <w:lang w:eastAsia="zh-CN"/>
        </w:rPr>
        <w:t>八</w:t>
      </w:r>
      <w:r>
        <w:rPr>
          <w:b/>
          <w:sz w:val="24"/>
        </w:rPr>
        <w:t>、</w:t>
      </w:r>
      <w:r>
        <w:rPr>
          <w:rFonts w:hint="eastAsia"/>
          <w:b/>
          <w:sz w:val="24"/>
        </w:rPr>
        <w:t>评审</w:t>
      </w:r>
      <w:r>
        <w:rPr>
          <w:b/>
          <w:sz w:val="24"/>
        </w:rPr>
        <w:t>时间及地点</w:t>
      </w:r>
    </w:p>
    <w:p w14:paraId="78C77A12">
      <w:pPr>
        <w:spacing w:line="360" w:lineRule="auto"/>
        <w:ind w:firstLine="420" w:firstLineChars="200"/>
      </w:pPr>
      <w:r>
        <w:t>1</w:t>
      </w:r>
      <w:r>
        <w:rPr>
          <w:highlight w:val="none"/>
        </w:rPr>
        <w:t>、</w:t>
      </w:r>
      <w:r>
        <w:rPr>
          <w:rFonts w:hint="eastAsia"/>
          <w:highlight w:val="none"/>
          <w:lang w:val="en-US" w:eastAsia="zh-CN"/>
        </w:rPr>
        <w:t>2025</w:t>
      </w:r>
      <w:r>
        <w:rPr>
          <w:highlight w:val="none"/>
        </w:rPr>
        <w:t>年</w:t>
      </w:r>
      <w:r>
        <w:rPr>
          <w:rFonts w:hint="eastAsia"/>
          <w:highlight w:val="none"/>
          <w:lang w:val="en-US" w:eastAsia="zh-CN"/>
        </w:rPr>
        <w:t>3</w:t>
      </w:r>
      <w:r>
        <w:rPr>
          <w:highlight w:val="none"/>
        </w:rPr>
        <w:t>月</w:t>
      </w:r>
      <w:r>
        <w:rPr>
          <w:rFonts w:hint="eastAsia"/>
          <w:highlight w:val="none"/>
          <w:lang w:val="en-US" w:eastAsia="zh-CN"/>
        </w:rPr>
        <w:t>21</w:t>
      </w:r>
      <w:r>
        <w:rPr>
          <w:highlight w:val="none"/>
        </w:rPr>
        <w:t>日</w:t>
      </w:r>
      <w:r>
        <w:rPr>
          <w:rFonts w:hint="eastAsia"/>
          <w:highlight w:val="none"/>
          <w:lang w:eastAsia="zh-CN"/>
        </w:rPr>
        <w:t>下</w:t>
      </w:r>
      <w:r>
        <w:rPr>
          <w:highlight w:val="none"/>
        </w:rPr>
        <w:t>午</w:t>
      </w:r>
      <w:r>
        <w:rPr>
          <w:rFonts w:hint="eastAsia"/>
          <w:highlight w:val="none"/>
          <w:lang w:val="en-US" w:eastAsia="zh-CN"/>
        </w:rPr>
        <w:t>15</w:t>
      </w:r>
      <w:r>
        <w:rPr>
          <w:rFonts w:hint="eastAsia"/>
          <w:highlight w:val="none"/>
        </w:rPr>
        <w:t>:</w:t>
      </w:r>
      <w:r>
        <w:rPr>
          <w:rFonts w:hint="eastAsia"/>
          <w:highlight w:val="none"/>
          <w:lang w:val="en-US" w:eastAsia="zh-CN"/>
        </w:rPr>
        <w:t>00（提前</w:t>
      </w:r>
      <w:r>
        <w:rPr>
          <w:rFonts w:hint="eastAsia"/>
          <w:highlight w:val="none"/>
          <w:lang w:val="en-US" w:eastAsia="zh-CN"/>
        </w:rPr>
        <w:t>15</w:t>
      </w:r>
      <w:r>
        <w:rPr>
          <w:rFonts w:hint="eastAsia"/>
          <w:highlight w:val="none"/>
          <w:lang w:val="en-US" w:eastAsia="zh-CN"/>
        </w:rPr>
        <w:t>分</w:t>
      </w:r>
      <w:r>
        <w:rPr>
          <w:rFonts w:hint="eastAsia"/>
          <w:lang w:val="en-US" w:eastAsia="zh-CN"/>
        </w:rPr>
        <w:t>钟凭身份证和授权委托书签到）</w:t>
      </w:r>
      <w:r>
        <w:t>。</w:t>
      </w:r>
    </w:p>
    <w:p w14:paraId="5FFFF011">
      <w:pPr>
        <w:spacing w:line="360" w:lineRule="auto"/>
        <w:ind w:firstLine="420" w:firstLineChars="200"/>
        <w:rPr>
          <w:rFonts w:hint="eastAsia"/>
        </w:rPr>
      </w:pPr>
      <w:r>
        <w:t>2、</w:t>
      </w:r>
      <w:r>
        <w:rPr>
          <w:rFonts w:hint="eastAsia"/>
        </w:rPr>
        <w:t>评审</w:t>
      </w:r>
      <w:r>
        <w:t>地点：</w:t>
      </w:r>
      <w:r>
        <w:rPr>
          <w:rFonts w:hint="eastAsia"/>
          <w:lang w:val="en-US" w:eastAsia="zh-CN"/>
        </w:rPr>
        <w:t>中山市民众医院行政楼1楼评标室</w:t>
      </w:r>
    </w:p>
    <w:p w14:paraId="1304F137">
      <w:pPr>
        <w:widowControl/>
        <w:spacing w:line="360" w:lineRule="auto"/>
        <w:jc w:val="left"/>
        <w:rPr>
          <w:b/>
          <w:sz w:val="24"/>
        </w:rPr>
      </w:pPr>
      <w:r>
        <w:rPr>
          <w:rFonts w:hint="eastAsia"/>
          <w:b/>
          <w:sz w:val="24"/>
          <w:lang w:eastAsia="zh-CN"/>
        </w:rPr>
        <w:t>九</w:t>
      </w:r>
      <w:r>
        <w:rPr>
          <w:b/>
          <w:sz w:val="24"/>
        </w:rPr>
        <w:t>、联系方式</w:t>
      </w:r>
    </w:p>
    <w:p w14:paraId="7C107DAB">
      <w:pPr>
        <w:spacing w:line="360" w:lineRule="auto"/>
        <w:ind w:firstLine="420" w:firstLineChars="200"/>
        <w:rPr>
          <w:rFonts w:hint="eastAsia"/>
          <w:lang w:val="en-US" w:eastAsia="zh-CN"/>
        </w:rPr>
      </w:pPr>
      <w:r>
        <w:t>1、联系人</w:t>
      </w:r>
      <w:r>
        <w:rPr>
          <w:rFonts w:hint="eastAsia"/>
          <w:lang w:eastAsia="zh-CN"/>
        </w:rPr>
        <w:t>以及</w:t>
      </w:r>
      <w:r>
        <w:t>联系电话：</w:t>
      </w:r>
      <w:r>
        <w:rPr>
          <w:rFonts w:hint="eastAsia"/>
          <w:lang w:val="en-US" w:eastAsia="zh-CN"/>
        </w:rPr>
        <w:t>杜先生、梁小姐，0760-85573682</w:t>
      </w:r>
    </w:p>
    <w:p w14:paraId="70B64719">
      <w:pPr>
        <w:widowControl/>
        <w:spacing w:line="360" w:lineRule="auto"/>
        <w:ind w:firstLine="420" w:firstLineChars="200"/>
        <w:jc w:val="left"/>
        <w:rPr>
          <w:b/>
          <w:sz w:val="24"/>
          <w:szCs w:val="24"/>
        </w:rPr>
      </w:pPr>
      <w:r>
        <w:rPr>
          <w:rFonts w:hint="eastAsia"/>
          <w:lang w:eastAsia="zh-CN"/>
        </w:rPr>
        <w:t>3、联系地址：中山市民众医院招标采购办</w:t>
      </w:r>
      <w:r>
        <w:rPr>
          <w:b/>
          <w:sz w:val="24"/>
          <w:szCs w:val="24"/>
        </w:rPr>
        <w:br w:type="page"/>
      </w:r>
    </w:p>
    <w:p w14:paraId="6B4B5359">
      <w:pPr>
        <w:widowControl/>
        <w:spacing w:line="360" w:lineRule="auto"/>
        <w:jc w:val="left"/>
        <w:rPr>
          <w:sz w:val="24"/>
          <w:szCs w:val="24"/>
        </w:rPr>
      </w:pPr>
      <w:r>
        <w:rPr>
          <w:b/>
          <w:sz w:val="24"/>
          <w:szCs w:val="24"/>
        </w:rPr>
        <w:t>模版一：无违法违纪行为承诺书</w:t>
      </w:r>
    </w:p>
    <w:p w14:paraId="1AC021C4">
      <w:pPr>
        <w:widowControl/>
        <w:spacing w:line="500" w:lineRule="exact"/>
        <w:jc w:val="center"/>
        <w:rPr>
          <w:b/>
          <w:sz w:val="24"/>
          <w:szCs w:val="24"/>
        </w:rPr>
      </w:pPr>
    </w:p>
    <w:p w14:paraId="089D1A50">
      <w:pPr>
        <w:widowControl/>
        <w:spacing w:line="500" w:lineRule="exact"/>
        <w:jc w:val="center"/>
        <w:rPr>
          <w:b/>
          <w:sz w:val="24"/>
          <w:szCs w:val="24"/>
        </w:rPr>
      </w:pPr>
      <w:r>
        <w:rPr>
          <w:b/>
          <w:sz w:val="24"/>
          <w:szCs w:val="24"/>
        </w:rPr>
        <w:t>无违法违纪行为承诺书</w:t>
      </w:r>
    </w:p>
    <w:p w14:paraId="2CD9B4E7">
      <w:pPr>
        <w:widowControl/>
        <w:spacing w:line="460" w:lineRule="exact"/>
        <w:ind w:firstLine="840"/>
        <w:jc w:val="left"/>
        <w:rPr>
          <w:sz w:val="24"/>
          <w:szCs w:val="24"/>
          <w:u w:val="single"/>
        </w:rPr>
      </w:pPr>
    </w:p>
    <w:p w14:paraId="165AC07F">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062ACE8">
      <w:pPr>
        <w:widowControl/>
        <w:spacing w:line="460" w:lineRule="exact"/>
        <w:ind w:firstLine="560"/>
        <w:jc w:val="left"/>
        <w:rPr>
          <w:sz w:val="24"/>
          <w:szCs w:val="24"/>
        </w:rPr>
      </w:pPr>
      <w:r>
        <w:rPr>
          <w:sz w:val="24"/>
          <w:szCs w:val="24"/>
        </w:rPr>
        <w:t xml:space="preserve"> 如有发现相关违法违纪行为，我公司愿承担一切法律责任。</w:t>
      </w:r>
    </w:p>
    <w:p w14:paraId="4DFB8251">
      <w:pPr>
        <w:widowControl/>
        <w:spacing w:line="460" w:lineRule="exact"/>
        <w:ind w:firstLine="560"/>
        <w:jc w:val="left"/>
        <w:rPr>
          <w:sz w:val="24"/>
          <w:szCs w:val="24"/>
        </w:rPr>
      </w:pPr>
      <w:r>
        <w:rPr>
          <w:sz w:val="24"/>
          <w:szCs w:val="24"/>
        </w:rPr>
        <w:t xml:space="preserve"> 特此承诺。</w:t>
      </w:r>
    </w:p>
    <w:p w14:paraId="6C6DEADE">
      <w:pPr>
        <w:widowControl/>
        <w:spacing w:line="460" w:lineRule="exact"/>
        <w:ind w:firstLine="560"/>
        <w:jc w:val="left"/>
        <w:rPr>
          <w:sz w:val="24"/>
          <w:szCs w:val="24"/>
        </w:rPr>
      </w:pPr>
    </w:p>
    <w:p w14:paraId="24EEABD8">
      <w:pPr>
        <w:widowControl/>
        <w:snapToGrid w:val="0"/>
        <w:spacing w:line="360" w:lineRule="auto"/>
        <w:jc w:val="left"/>
        <w:rPr>
          <w:sz w:val="24"/>
          <w:szCs w:val="24"/>
        </w:rPr>
      </w:pPr>
      <w:r>
        <w:rPr>
          <w:sz w:val="24"/>
          <w:szCs w:val="24"/>
        </w:rPr>
        <w:t xml:space="preserve">                                     </w:t>
      </w:r>
    </w:p>
    <w:p w14:paraId="6F6312F1">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111A47F">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357E6D35">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F9B32CF">
      <w:pPr>
        <w:widowControl/>
        <w:snapToGrid w:val="0"/>
        <w:spacing w:line="360" w:lineRule="auto"/>
        <w:jc w:val="left"/>
        <w:rPr>
          <w:sz w:val="24"/>
          <w:szCs w:val="24"/>
        </w:rPr>
      </w:pPr>
    </w:p>
    <w:p w14:paraId="0D9D1954">
      <w:pPr>
        <w:widowControl/>
        <w:snapToGrid w:val="0"/>
        <w:spacing w:line="360" w:lineRule="auto"/>
        <w:jc w:val="left"/>
        <w:rPr>
          <w:sz w:val="24"/>
          <w:szCs w:val="24"/>
        </w:rPr>
      </w:pPr>
    </w:p>
    <w:p w14:paraId="56D9AB02">
      <w:pPr>
        <w:widowControl/>
        <w:snapToGrid w:val="0"/>
        <w:spacing w:line="360" w:lineRule="auto"/>
        <w:jc w:val="left"/>
        <w:rPr>
          <w:sz w:val="24"/>
          <w:szCs w:val="24"/>
        </w:rPr>
      </w:pPr>
    </w:p>
    <w:p w14:paraId="3EB6FFA8">
      <w:pPr>
        <w:widowControl/>
        <w:snapToGrid w:val="0"/>
        <w:spacing w:line="360" w:lineRule="auto"/>
        <w:jc w:val="left"/>
        <w:rPr>
          <w:sz w:val="24"/>
          <w:szCs w:val="24"/>
        </w:rPr>
      </w:pPr>
    </w:p>
    <w:p w14:paraId="72F82C70">
      <w:pPr>
        <w:widowControl/>
        <w:snapToGrid w:val="0"/>
        <w:spacing w:line="360" w:lineRule="auto"/>
        <w:jc w:val="left"/>
        <w:rPr>
          <w:sz w:val="24"/>
          <w:szCs w:val="24"/>
        </w:rPr>
      </w:pPr>
    </w:p>
    <w:p w14:paraId="55D449C8">
      <w:pPr>
        <w:widowControl/>
        <w:snapToGrid w:val="0"/>
        <w:spacing w:line="360" w:lineRule="auto"/>
        <w:jc w:val="left"/>
        <w:rPr>
          <w:sz w:val="24"/>
          <w:szCs w:val="24"/>
        </w:rPr>
      </w:pPr>
    </w:p>
    <w:p w14:paraId="68FEA55F">
      <w:pPr>
        <w:widowControl/>
        <w:snapToGrid w:val="0"/>
        <w:spacing w:line="360" w:lineRule="auto"/>
        <w:jc w:val="left"/>
        <w:rPr>
          <w:sz w:val="24"/>
          <w:szCs w:val="24"/>
        </w:rPr>
      </w:pPr>
    </w:p>
    <w:p w14:paraId="05372ACB">
      <w:pPr>
        <w:widowControl/>
        <w:snapToGrid w:val="0"/>
        <w:spacing w:line="360" w:lineRule="auto"/>
        <w:jc w:val="left"/>
        <w:rPr>
          <w:sz w:val="24"/>
          <w:szCs w:val="24"/>
        </w:rPr>
      </w:pPr>
    </w:p>
    <w:p w14:paraId="1CD0681D">
      <w:pPr>
        <w:widowControl/>
        <w:snapToGrid w:val="0"/>
        <w:spacing w:line="360" w:lineRule="auto"/>
        <w:jc w:val="left"/>
        <w:rPr>
          <w:sz w:val="24"/>
          <w:szCs w:val="24"/>
        </w:rPr>
      </w:pPr>
    </w:p>
    <w:p w14:paraId="1436926E">
      <w:pPr>
        <w:widowControl/>
        <w:snapToGrid w:val="0"/>
        <w:spacing w:line="360" w:lineRule="auto"/>
        <w:jc w:val="left"/>
        <w:rPr>
          <w:sz w:val="24"/>
          <w:szCs w:val="24"/>
        </w:rPr>
      </w:pPr>
    </w:p>
    <w:p w14:paraId="7A0A21E7">
      <w:pPr>
        <w:widowControl/>
        <w:snapToGrid w:val="0"/>
        <w:spacing w:line="360" w:lineRule="auto"/>
        <w:jc w:val="left"/>
        <w:rPr>
          <w:sz w:val="24"/>
          <w:szCs w:val="24"/>
        </w:rPr>
      </w:pPr>
    </w:p>
    <w:p w14:paraId="39F569FF">
      <w:pPr>
        <w:widowControl/>
        <w:snapToGrid w:val="0"/>
        <w:spacing w:line="360" w:lineRule="auto"/>
        <w:jc w:val="left"/>
        <w:rPr>
          <w:sz w:val="24"/>
          <w:szCs w:val="24"/>
        </w:rPr>
      </w:pPr>
    </w:p>
    <w:p w14:paraId="42CB53AE">
      <w:pPr>
        <w:widowControl/>
        <w:snapToGrid w:val="0"/>
        <w:spacing w:line="360" w:lineRule="auto"/>
        <w:jc w:val="left"/>
        <w:rPr>
          <w:sz w:val="24"/>
          <w:szCs w:val="24"/>
        </w:rPr>
      </w:pPr>
    </w:p>
    <w:p w14:paraId="15EEC579">
      <w:pPr>
        <w:widowControl/>
        <w:snapToGrid w:val="0"/>
        <w:spacing w:line="360" w:lineRule="auto"/>
        <w:jc w:val="left"/>
        <w:rPr>
          <w:sz w:val="24"/>
          <w:szCs w:val="24"/>
        </w:rPr>
      </w:pPr>
    </w:p>
    <w:p w14:paraId="0AF587F9">
      <w:pPr>
        <w:widowControl/>
        <w:snapToGrid w:val="0"/>
        <w:spacing w:line="360" w:lineRule="auto"/>
        <w:jc w:val="left"/>
        <w:rPr>
          <w:sz w:val="24"/>
          <w:szCs w:val="24"/>
        </w:rPr>
      </w:pPr>
    </w:p>
    <w:p w14:paraId="52EFBD21">
      <w:pPr>
        <w:widowControl/>
        <w:snapToGrid w:val="0"/>
        <w:spacing w:line="360" w:lineRule="auto"/>
        <w:jc w:val="left"/>
        <w:rPr>
          <w:sz w:val="24"/>
          <w:szCs w:val="24"/>
        </w:rPr>
      </w:pPr>
    </w:p>
    <w:p w14:paraId="6EC2698C">
      <w:pPr>
        <w:widowControl/>
        <w:snapToGrid w:val="0"/>
        <w:spacing w:line="360" w:lineRule="auto"/>
        <w:jc w:val="left"/>
        <w:rPr>
          <w:sz w:val="24"/>
          <w:szCs w:val="24"/>
        </w:rPr>
      </w:pPr>
    </w:p>
    <w:p w14:paraId="3529753F">
      <w:pPr>
        <w:widowControl/>
        <w:snapToGrid w:val="0"/>
        <w:spacing w:line="360" w:lineRule="auto"/>
        <w:jc w:val="left"/>
        <w:rPr>
          <w:sz w:val="24"/>
          <w:szCs w:val="24"/>
        </w:rPr>
      </w:pPr>
    </w:p>
    <w:p w14:paraId="774469A5">
      <w:pPr>
        <w:keepNext/>
        <w:keepLines/>
        <w:widowControl/>
        <w:jc w:val="left"/>
        <w:rPr>
          <w:b/>
          <w:sz w:val="24"/>
        </w:rPr>
      </w:pPr>
      <w:r>
        <w:rPr>
          <w:b/>
          <w:sz w:val="24"/>
        </w:rPr>
        <w:t>模版二：无围标、串标行为承诺书（模板）</w:t>
      </w:r>
    </w:p>
    <w:p w14:paraId="20E4964E">
      <w:pPr>
        <w:widowControl/>
        <w:jc w:val="left"/>
        <w:rPr>
          <w:b/>
          <w:sz w:val="24"/>
        </w:rPr>
      </w:pPr>
    </w:p>
    <w:p w14:paraId="7C4EE8F3">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6B3EA6AC">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w:t>
      </w:r>
      <w:r>
        <w:rPr>
          <w:rFonts w:hint="eastAsia"/>
          <w:color w:val="000000"/>
          <w:sz w:val="24"/>
        </w:rPr>
        <w:t>谈判</w:t>
      </w:r>
      <w:r>
        <w:rPr>
          <w:color w:val="000000"/>
          <w:sz w:val="24"/>
        </w:rPr>
        <w:t>项目编号：</w:t>
      </w:r>
      <w:r>
        <w:rPr>
          <w:color w:val="000000"/>
          <w:sz w:val="24"/>
          <w:u w:val="single"/>
        </w:rPr>
        <w:t xml:space="preserve">                      </w:t>
      </w:r>
      <w:r>
        <w:rPr>
          <w:color w:val="000000"/>
          <w:sz w:val="24"/>
        </w:rPr>
        <w:t>）活动中，无以下围标、串标行为：</w:t>
      </w:r>
    </w:p>
    <w:p w14:paraId="233977B7">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285EE784">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21E19519">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4F396E49">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39D9A959">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113EAE8A">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4DC264E9">
      <w:pPr>
        <w:widowControl/>
        <w:spacing w:line="480" w:lineRule="exact"/>
        <w:ind w:firstLine="480"/>
        <w:jc w:val="left"/>
        <w:rPr>
          <w:color w:val="000000"/>
          <w:sz w:val="24"/>
        </w:rPr>
      </w:pPr>
      <w:r>
        <w:rPr>
          <w:color w:val="000000"/>
          <w:sz w:val="24"/>
        </w:rPr>
        <w:t>（七）不同供应商的单位负责人为同一人或者存在控股、管理关系的不同单位参加同一包组</w:t>
      </w:r>
      <w:r>
        <w:rPr>
          <w:rFonts w:hint="eastAsia"/>
          <w:color w:val="000000"/>
          <w:sz w:val="24"/>
          <w:lang w:eastAsia="zh-CN"/>
        </w:rPr>
        <w:t>招标</w:t>
      </w:r>
      <w:r>
        <w:rPr>
          <w:color w:val="000000"/>
          <w:sz w:val="24"/>
        </w:rPr>
        <w:t>项目</w:t>
      </w:r>
      <w:r>
        <w:rPr>
          <w:rFonts w:hint="eastAsia"/>
          <w:color w:val="000000"/>
          <w:sz w:val="24"/>
        </w:rPr>
        <w:t>响应</w:t>
      </w:r>
      <w:r>
        <w:rPr>
          <w:color w:val="000000"/>
          <w:sz w:val="24"/>
        </w:rPr>
        <w:t>；</w:t>
      </w:r>
    </w:p>
    <w:p w14:paraId="40932BDC">
      <w:pPr>
        <w:widowControl/>
        <w:spacing w:line="480" w:lineRule="exact"/>
        <w:ind w:firstLine="480"/>
        <w:jc w:val="left"/>
        <w:rPr>
          <w:color w:val="000000"/>
          <w:sz w:val="24"/>
        </w:rPr>
      </w:pPr>
      <w:r>
        <w:rPr>
          <w:color w:val="000000"/>
          <w:sz w:val="24"/>
        </w:rPr>
        <w:t>（八）法律法规界定的其他围标串标行为。</w:t>
      </w:r>
    </w:p>
    <w:p w14:paraId="3B8D469D">
      <w:pPr>
        <w:widowControl/>
        <w:spacing w:line="480" w:lineRule="exact"/>
        <w:ind w:firstLine="480"/>
        <w:jc w:val="left"/>
        <w:rPr>
          <w:color w:val="000000"/>
          <w:sz w:val="24"/>
        </w:rPr>
      </w:pPr>
      <w:r>
        <w:rPr>
          <w:color w:val="000000"/>
          <w:sz w:val="24"/>
        </w:rPr>
        <w:t>如有发现我公司存在围标、串标行为，我公司愿承担一切法律责任。</w:t>
      </w:r>
    </w:p>
    <w:p w14:paraId="2EDF8BA2">
      <w:pPr>
        <w:widowControl/>
        <w:spacing w:line="480" w:lineRule="exact"/>
        <w:ind w:firstLine="480"/>
        <w:jc w:val="left"/>
        <w:rPr>
          <w:color w:val="000000"/>
          <w:sz w:val="24"/>
        </w:rPr>
      </w:pPr>
      <w:r>
        <w:rPr>
          <w:color w:val="000000"/>
          <w:sz w:val="24"/>
        </w:rPr>
        <w:t>特此承诺！</w:t>
      </w:r>
    </w:p>
    <w:p w14:paraId="45C72919">
      <w:pPr>
        <w:widowControl/>
        <w:spacing w:line="480" w:lineRule="exact"/>
        <w:ind w:firstLine="440"/>
        <w:jc w:val="left"/>
        <w:rPr>
          <w:color w:val="000000"/>
          <w:sz w:val="22"/>
        </w:rPr>
      </w:pPr>
    </w:p>
    <w:p w14:paraId="2C42AB94">
      <w:pPr>
        <w:widowControl/>
        <w:spacing w:line="480" w:lineRule="exact"/>
        <w:ind w:firstLine="440"/>
        <w:jc w:val="left"/>
        <w:rPr>
          <w:color w:val="000000"/>
          <w:sz w:val="22"/>
        </w:rPr>
      </w:pPr>
    </w:p>
    <w:p w14:paraId="6FEA1CF3">
      <w:pPr>
        <w:widowControl/>
        <w:spacing w:line="480" w:lineRule="exact"/>
        <w:ind w:firstLine="440"/>
        <w:jc w:val="left"/>
        <w:rPr>
          <w:color w:val="000000"/>
          <w:sz w:val="22"/>
        </w:rPr>
      </w:pPr>
    </w:p>
    <w:p w14:paraId="7A6AF433">
      <w:pPr>
        <w:widowControl/>
        <w:spacing w:line="480" w:lineRule="exact"/>
        <w:ind w:firstLine="440"/>
        <w:jc w:val="left"/>
        <w:rPr>
          <w:color w:val="000000"/>
          <w:sz w:val="22"/>
        </w:rPr>
      </w:pPr>
    </w:p>
    <w:p w14:paraId="2BF3A33B">
      <w:pPr>
        <w:widowControl/>
        <w:spacing w:line="480" w:lineRule="exact"/>
        <w:ind w:firstLine="480"/>
        <w:jc w:val="left"/>
        <w:rPr>
          <w:color w:val="000000"/>
          <w:sz w:val="24"/>
        </w:rPr>
      </w:pPr>
    </w:p>
    <w:p w14:paraId="200B23D6">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75B0885E">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14:paraId="5A32B55A">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532FF37">
      <w:pPr>
        <w:widowControl/>
        <w:snapToGrid w:val="0"/>
        <w:spacing w:line="360" w:lineRule="auto"/>
        <w:jc w:val="left"/>
        <w:rPr>
          <w:sz w:val="24"/>
          <w:szCs w:val="24"/>
        </w:rPr>
      </w:pPr>
    </w:p>
    <w:p w14:paraId="199ED582">
      <w:pPr>
        <w:widowControl/>
        <w:snapToGrid w:val="0"/>
        <w:spacing w:line="360" w:lineRule="auto"/>
        <w:jc w:val="left"/>
        <w:rPr>
          <w:sz w:val="24"/>
          <w:szCs w:val="24"/>
        </w:rPr>
      </w:pPr>
    </w:p>
    <w:p w14:paraId="4B04A269">
      <w:pPr>
        <w:widowControl/>
        <w:snapToGrid w:val="0"/>
        <w:spacing w:line="360" w:lineRule="auto"/>
        <w:jc w:val="left"/>
        <w:rPr>
          <w:sz w:val="24"/>
          <w:szCs w:val="24"/>
        </w:rPr>
      </w:pPr>
    </w:p>
    <w:p w14:paraId="581A895C">
      <w:pPr>
        <w:widowControl/>
        <w:snapToGrid w:val="0"/>
        <w:spacing w:line="360" w:lineRule="auto"/>
        <w:jc w:val="left"/>
        <w:rPr>
          <w:sz w:val="24"/>
          <w:szCs w:val="24"/>
        </w:rPr>
      </w:pPr>
    </w:p>
    <w:p w14:paraId="5333EDDE">
      <w:pPr>
        <w:widowControl/>
        <w:snapToGrid w:val="0"/>
        <w:spacing w:line="360" w:lineRule="auto"/>
        <w:jc w:val="left"/>
        <w:rPr>
          <w:sz w:val="24"/>
          <w:szCs w:val="24"/>
        </w:rPr>
      </w:pPr>
    </w:p>
    <w:p w14:paraId="0CA6909A">
      <w:pPr>
        <w:widowControl/>
        <w:snapToGrid w:val="0"/>
        <w:spacing w:line="360" w:lineRule="auto"/>
        <w:jc w:val="left"/>
        <w:rPr>
          <w:sz w:val="24"/>
          <w:szCs w:val="24"/>
        </w:rPr>
      </w:pPr>
    </w:p>
    <w:p w14:paraId="1120B2C1">
      <w:pPr>
        <w:widowControl/>
        <w:spacing w:line="480" w:lineRule="exact"/>
        <w:jc w:val="left"/>
        <w:rPr>
          <w:b/>
          <w:sz w:val="24"/>
        </w:rPr>
      </w:pPr>
      <w:r>
        <w:rPr>
          <w:rFonts w:hint="eastAsia"/>
          <w:b/>
          <w:sz w:val="24"/>
        </w:rPr>
        <w:t>模版三：</w:t>
      </w:r>
    </w:p>
    <w:p w14:paraId="2D02ACE2">
      <w:pPr>
        <w:spacing w:beforeLines="100" w:line="360" w:lineRule="auto"/>
        <w:jc w:val="center"/>
        <w:rPr>
          <w:rFonts w:ascii="宋体"/>
          <w:b/>
          <w:bCs/>
          <w:sz w:val="28"/>
          <w:szCs w:val="28"/>
        </w:rPr>
      </w:pPr>
      <w:r>
        <w:rPr>
          <w:rFonts w:hint="eastAsia" w:ascii="宋体" w:hAnsi="宋体"/>
          <w:b/>
          <w:bCs/>
          <w:sz w:val="28"/>
          <w:szCs w:val="28"/>
        </w:rPr>
        <w:t>项目要求响应表</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3521"/>
        <w:gridCol w:w="1843"/>
        <w:gridCol w:w="1276"/>
        <w:gridCol w:w="1276"/>
      </w:tblGrid>
      <w:tr w14:paraId="275A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56" w:type="dxa"/>
            <w:shd w:val="clear" w:color="auto" w:fill="F3F3F3"/>
            <w:vAlign w:val="center"/>
          </w:tcPr>
          <w:p w14:paraId="6F36CDB5">
            <w:pPr>
              <w:snapToGrid w:val="0"/>
              <w:jc w:val="center"/>
              <w:rPr>
                <w:rFonts w:ascii="宋体"/>
                <w:b/>
                <w:bCs/>
                <w:szCs w:val="21"/>
              </w:rPr>
            </w:pPr>
            <w:r>
              <w:rPr>
                <w:rFonts w:hint="eastAsia" w:ascii="宋体" w:hAnsi="宋体"/>
                <w:b/>
                <w:bCs/>
                <w:szCs w:val="21"/>
              </w:rPr>
              <w:t>序号</w:t>
            </w:r>
          </w:p>
        </w:tc>
        <w:tc>
          <w:tcPr>
            <w:tcW w:w="3521" w:type="dxa"/>
            <w:shd w:val="clear" w:color="auto" w:fill="F3F3F3"/>
            <w:vAlign w:val="center"/>
          </w:tcPr>
          <w:p w14:paraId="5DB45B29">
            <w:pPr>
              <w:jc w:val="center"/>
              <w:rPr>
                <w:rFonts w:ascii="宋体"/>
                <w:b/>
                <w:bCs/>
                <w:szCs w:val="21"/>
              </w:rPr>
            </w:pPr>
            <w:r>
              <w:rPr>
                <w:rFonts w:hint="eastAsia" w:ascii="宋体" w:hAnsi="宋体"/>
                <w:b/>
                <w:bCs/>
                <w:szCs w:val="21"/>
              </w:rPr>
              <w:t>用户需求条款</w:t>
            </w:r>
          </w:p>
        </w:tc>
        <w:tc>
          <w:tcPr>
            <w:tcW w:w="1843" w:type="dxa"/>
            <w:shd w:val="clear" w:color="auto" w:fill="F3F3F3"/>
            <w:vAlign w:val="center"/>
          </w:tcPr>
          <w:p w14:paraId="2E63D790">
            <w:pPr>
              <w:jc w:val="center"/>
              <w:rPr>
                <w:rFonts w:ascii="宋体"/>
                <w:b/>
                <w:bCs/>
                <w:szCs w:val="21"/>
              </w:rPr>
            </w:pPr>
            <w:r>
              <w:rPr>
                <w:rFonts w:hint="eastAsia" w:ascii="宋体" w:hAnsi="宋体"/>
                <w:b/>
                <w:bCs/>
                <w:szCs w:val="21"/>
              </w:rPr>
              <w:t>投标人响应描述</w:t>
            </w:r>
          </w:p>
          <w:p w14:paraId="19A2BF9B">
            <w:pPr>
              <w:jc w:val="center"/>
              <w:rPr>
                <w:rFonts w:ascii="宋体"/>
                <w:bCs/>
                <w:szCs w:val="21"/>
              </w:rPr>
            </w:pPr>
            <w:r>
              <w:rPr>
                <w:rFonts w:ascii="宋体" w:hAnsi="宋体"/>
                <w:bCs/>
                <w:szCs w:val="21"/>
              </w:rPr>
              <w:t>(</w:t>
            </w:r>
            <w:r>
              <w:rPr>
                <w:rFonts w:hint="eastAsia" w:ascii="宋体" w:hAnsi="宋体"/>
                <w:bCs/>
                <w:szCs w:val="21"/>
              </w:rPr>
              <w:t>投标人根据用户需求对应条款，如实填写响应内容</w:t>
            </w:r>
            <w:r>
              <w:rPr>
                <w:rFonts w:ascii="宋体" w:hAnsi="宋体"/>
                <w:bCs/>
                <w:szCs w:val="21"/>
              </w:rPr>
              <w:t>)</w:t>
            </w:r>
          </w:p>
        </w:tc>
        <w:tc>
          <w:tcPr>
            <w:tcW w:w="1276" w:type="dxa"/>
            <w:shd w:val="clear" w:color="auto" w:fill="F3F3F3"/>
            <w:vAlign w:val="center"/>
          </w:tcPr>
          <w:p w14:paraId="2E54F44C">
            <w:pPr>
              <w:snapToGrid w:val="0"/>
              <w:jc w:val="center"/>
              <w:rPr>
                <w:rFonts w:ascii="宋体"/>
                <w:b/>
                <w:bCs/>
                <w:szCs w:val="21"/>
              </w:rPr>
            </w:pPr>
            <w:r>
              <w:rPr>
                <w:rFonts w:hint="eastAsia" w:ascii="宋体" w:hAnsi="宋体"/>
                <w:b/>
                <w:bCs/>
                <w:szCs w:val="21"/>
              </w:rPr>
              <w:t>是否响应</w:t>
            </w:r>
          </w:p>
        </w:tc>
        <w:tc>
          <w:tcPr>
            <w:tcW w:w="1276" w:type="dxa"/>
            <w:shd w:val="clear" w:color="auto" w:fill="F3F3F3"/>
            <w:vAlign w:val="center"/>
          </w:tcPr>
          <w:p w14:paraId="2958039C">
            <w:pPr>
              <w:snapToGrid w:val="0"/>
              <w:jc w:val="center"/>
              <w:rPr>
                <w:rFonts w:ascii="宋体"/>
                <w:b/>
                <w:bCs/>
                <w:szCs w:val="21"/>
              </w:rPr>
            </w:pPr>
            <w:r>
              <w:rPr>
                <w:rFonts w:hint="eastAsia" w:ascii="宋体" w:hAnsi="宋体"/>
                <w:b/>
                <w:bCs/>
                <w:szCs w:val="21"/>
              </w:rPr>
              <w:t>偏离说明</w:t>
            </w:r>
          </w:p>
        </w:tc>
      </w:tr>
      <w:tr w14:paraId="1C8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dxa"/>
            <w:vAlign w:val="center"/>
          </w:tcPr>
          <w:p w14:paraId="5DAFD153">
            <w:pPr>
              <w:numPr>
                <w:ilvl w:val="0"/>
                <w:numId w:val="3"/>
              </w:numPr>
              <w:snapToGrid w:val="0"/>
              <w:jc w:val="center"/>
              <w:rPr>
                <w:rFonts w:ascii="宋体"/>
                <w:szCs w:val="21"/>
              </w:rPr>
            </w:pPr>
          </w:p>
        </w:tc>
        <w:tc>
          <w:tcPr>
            <w:tcW w:w="3521" w:type="dxa"/>
            <w:vAlign w:val="center"/>
          </w:tcPr>
          <w:p w14:paraId="6D2B8782">
            <w:pPr>
              <w:snapToGrid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1.系统峰值并发处理能力应达到1000个并发数以上。</w:t>
            </w:r>
          </w:p>
          <w:p w14:paraId="69E03897">
            <w:pPr>
              <w:snapToGrid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2.系统响应时间不超过5秒，最高可支持5000人的同时联网运行，开发出的系统具有可扩展性、稳定性、安全性、兼容性。</w:t>
            </w:r>
          </w:p>
          <w:p w14:paraId="262417D0">
            <w:pPr>
              <w:snapToGrid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3.支持PC客户端、PC Web端和移动端，提供云服务模式，可供院内院外联网使用。移动端采用公众号作为应用入口，无需另行下载安装APP应用。</w:t>
            </w:r>
          </w:p>
          <w:p w14:paraId="15DB9B4E">
            <w:pPr>
              <w:snapToGrid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4.支持硬件资源（如服务器运算能力、存储能力等）的弹性供应，以便满足客户所有人员同时使用的高并发需求，客户自身无需硬件投入。</w:t>
            </w:r>
          </w:p>
          <w:p w14:paraId="0FE90455">
            <w:pPr>
              <w:snapToGrid w:val="0"/>
              <w:rPr>
                <w:rFonts w:hint="eastAsia" w:asciiTheme="minorHAnsi" w:hAnsiTheme="minorHAnsi" w:eastAsiaTheme="minorEastAsia" w:cstheme="minorBidi"/>
                <w:b w:val="0"/>
                <w:bCs w:val="0"/>
                <w:color w:val="000000" w:themeColor="text1"/>
                <w:kern w:val="2"/>
                <w:sz w:val="21"/>
                <w:szCs w:val="21"/>
                <w:lang w:val="en-US" w:eastAsia="zh-CN" w:bidi="ar-SA"/>
                <w14:textFill>
                  <w14:solidFill>
                    <w14:schemeClr w14:val="tx1"/>
                  </w14:solidFill>
                </w14:textFill>
              </w:rPr>
            </w:pPr>
          </w:p>
        </w:tc>
        <w:tc>
          <w:tcPr>
            <w:tcW w:w="1843" w:type="dxa"/>
            <w:vAlign w:val="center"/>
          </w:tcPr>
          <w:p w14:paraId="2CBBB804">
            <w:pPr>
              <w:snapToGrid w:val="0"/>
              <w:rPr>
                <w:rFonts w:ascii="宋体"/>
                <w:szCs w:val="21"/>
              </w:rPr>
            </w:pPr>
          </w:p>
        </w:tc>
        <w:tc>
          <w:tcPr>
            <w:tcW w:w="1276" w:type="dxa"/>
            <w:vAlign w:val="center"/>
          </w:tcPr>
          <w:p w14:paraId="14FD72AD">
            <w:pPr>
              <w:rPr>
                <w:rFonts w:ascii="宋体"/>
                <w:szCs w:val="21"/>
              </w:rPr>
            </w:pPr>
          </w:p>
        </w:tc>
        <w:tc>
          <w:tcPr>
            <w:tcW w:w="1276" w:type="dxa"/>
            <w:vAlign w:val="center"/>
          </w:tcPr>
          <w:p w14:paraId="3A06EF71">
            <w:pPr>
              <w:snapToGrid w:val="0"/>
              <w:jc w:val="center"/>
              <w:rPr>
                <w:rFonts w:ascii="宋体"/>
                <w:szCs w:val="21"/>
              </w:rPr>
            </w:pPr>
          </w:p>
        </w:tc>
      </w:tr>
      <w:tr w14:paraId="4E8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dxa"/>
            <w:vAlign w:val="center"/>
          </w:tcPr>
          <w:p w14:paraId="37C9A640">
            <w:pPr>
              <w:numPr>
                <w:ilvl w:val="0"/>
                <w:numId w:val="3"/>
              </w:numPr>
              <w:snapToGrid w:val="0"/>
              <w:jc w:val="center"/>
              <w:rPr>
                <w:rFonts w:ascii="宋体"/>
                <w:szCs w:val="21"/>
              </w:rPr>
            </w:pPr>
          </w:p>
        </w:tc>
        <w:tc>
          <w:tcPr>
            <w:tcW w:w="3521" w:type="dxa"/>
            <w:vAlign w:val="center"/>
          </w:tcPr>
          <w:p w14:paraId="062311C7">
            <w:pPr>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1.可实现云考试服务，电脑端与移动端相结合的练习、</w:t>
            </w:r>
            <w:r>
              <w:rPr>
                <w:rFonts w:hint="eastAsia"/>
                <w:color w:val="000000" w:themeColor="text1"/>
                <w:szCs w:val="21"/>
                <w:lang w:val="en-US" w:eastAsia="zh-CN"/>
                <w14:textFill>
                  <w14:solidFill>
                    <w14:schemeClr w14:val="tx1"/>
                  </w14:solidFill>
                </w14:textFill>
              </w:rPr>
              <w:t>模拟、</w:t>
            </w:r>
            <w:r>
              <w:rPr>
                <w:rFonts w:hint="eastAsia"/>
                <w:color w:val="000000" w:themeColor="text1"/>
                <w:szCs w:val="21"/>
                <w14:textFill>
                  <w14:solidFill>
                    <w14:schemeClr w14:val="tx1"/>
                  </w14:solidFill>
                </w14:textFill>
              </w:rPr>
              <w:t>考试</w:t>
            </w:r>
            <w:r>
              <w:rPr>
                <w:rFonts w:hint="eastAsia"/>
                <w:color w:val="000000" w:themeColor="text1"/>
                <w:szCs w:val="21"/>
                <w:lang w:val="en-US" w:eastAsia="zh-CN"/>
                <w14:textFill>
                  <w14:solidFill>
                    <w14:schemeClr w14:val="tx1"/>
                  </w14:solidFill>
                </w14:textFill>
              </w:rPr>
              <w:t>及竞赛</w:t>
            </w:r>
            <w:r>
              <w:rPr>
                <w:rFonts w:hint="eastAsia"/>
                <w:color w:val="000000" w:themeColor="text1"/>
                <w:szCs w:val="21"/>
                <w14:textFill>
                  <w14:solidFill>
                    <w14:schemeClr w14:val="tx1"/>
                  </w14:solidFill>
                </w14:textFill>
              </w:rPr>
              <w:t>模式；</w:t>
            </w:r>
          </w:p>
          <w:p w14:paraId="3A8BB6DA">
            <w:pPr>
              <w:snapToGrid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*2.系统需提供试题</w:t>
            </w:r>
            <w:r>
              <w:rPr>
                <w:rFonts w:hint="eastAsia"/>
                <w:color w:val="000000" w:themeColor="text1"/>
                <w:szCs w:val="21"/>
                <w14:textFill>
                  <w14:solidFill>
                    <w14:schemeClr w14:val="tx1"/>
                  </w14:solidFill>
                </w14:textFill>
              </w:rPr>
              <w:t>包含：三基考试（医、护、技、药）、职称晋升考试、执业医师考试、执业助理医师考试、</w:t>
            </w:r>
            <w:r>
              <w:rPr>
                <w:rFonts w:hint="eastAsia"/>
                <w:color w:val="000000" w:themeColor="text1"/>
                <w:szCs w:val="21"/>
                <w:lang w:val="en-US" w:eastAsia="zh-CN"/>
                <w14:textFill>
                  <w14:solidFill>
                    <w14:schemeClr w14:val="tx1"/>
                  </w14:solidFill>
                </w14:textFill>
              </w:rPr>
              <w:t>全科医师和助理全科医师考试、</w:t>
            </w:r>
            <w:r>
              <w:rPr>
                <w:rFonts w:hint="eastAsia"/>
                <w:color w:val="000000" w:themeColor="text1"/>
                <w:szCs w:val="21"/>
                <w14:textFill>
                  <w14:solidFill>
                    <w14:schemeClr w14:val="tx1"/>
                  </w14:solidFill>
                </w14:textFill>
              </w:rPr>
              <w:t>临床护理考试、医院感染管理试题、妇幼专科试题、中医试题库、执业护师考试、</w:t>
            </w:r>
            <w:r>
              <w:rPr>
                <w:rFonts w:hint="eastAsia"/>
                <w:color w:val="000000" w:themeColor="text1"/>
                <w:szCs w:val="21"/>
                <w:lang w:val="en-US" w:eastAsia="zh-CN"/>
                <w14:textFill>
                  <w14:solidFill>
                    <w14:schemeClr w14:val="tx1"/>
                  </w14:solidFill>
                </w14:textFill>
              </w:rPr>
              <w:t>自建试题库</w:t>
            </w:r>
            <w:r>
              <w:rPr>
                <w:rFonts w:hint="eastAsia"/>
                <w:color w:val="000000" w:themeColor="text1"/>
                <w:szCs w:val="21"/>
                <w:lang w:eastAsia="zh-CN"/>
                <w14:textFill>
                  <w14:solidFill>
                    <w14:schemeClr w14:val="tx1"/>
                  </w14:solidFill>
                </w14:textFill>
              </w:rPr>
              <w:t>。</w:t>
            </w:r>
          </w:p>
          <w:p w14:paraId="2F86986A">
            <w:pPr>
              <w:snapToGrid w:val="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.系统支持考试考组人员划分</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管理员可自主</w:t>
            </w:r>
            <w:r>
              <w:rPr>
                <w:rFonts w:hint="eastAsia"/>
                <w:color w:val="000000" w:themeColor="text1"/>
                <w:szCs w:val="21"/>
                <w:lang w:val="en-US" w:eastAsia="zh-CN"/>
                <w14:textFill>
                  <w14:solidFill>
                    <w14:schemeClr w14:val="tx1"/>
                  </w14:solidFill>
                </w14:textFill>
              </w:rPr>
              <w:t>增加分级管理员、自定义角色和</w:t>
            </w:r>
            <w:r>
              <w:rPr>
                <w:rFonts w:hint="eastAsia"/>
                <w:color w:val="000000" w:themeColor="text1"/>
                <w:szCs w:val="21"/>
                <w14:textFill>
                  <w14:solidFill>
                    <w14:schemeClr w14:val="tx1"/>
                  </w14:solidFill>
                </w14:textFill>
              </w:rPr>
              <w:t>进行权限管理模块设置等操作；</w:t>
            </w:r>
          </w:p>
          <w:p w14:paraId="36B8A171">
            <w:pPr>
              <w:snapToGrid w:val="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.系统满足用户个人自主注册、单个用户新增和批量导入、修改、导出和批量设备解绑等功能，科室设置、职称设置、护理层级、职务、专业设置以及权限分级设置等操作；</w:t>
            </w:r>
          </w:p>
          <w:p w14:paraId="0DC0AD60">
            <w:pPr>
              <w:snapToGrid w:val="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.系统支持批量多份试卷安排设置，支持按照科室、职称、年龄、层级等条件进行筛选参考考生信息，同时也支持选择考组人员等设置进行操作；</w:t>
            </w:r>
          </w:p>
          <w:p w14:paraId="0E5D8461">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.系统出卷简易、精细，且支持多元化组卷方式，随机出卷法、按知识点出卷法、必考题出卷法，可进行模拟测试、正规考试等，可对每份试卷进行分类管理</w:t>
            </w:r>
            <w:r>
              <w:rPr>
                <w:rFonts w:hint="eastAsia"/>
                <w:color w:val="000000" w:themeColor="text1"/>
                <w:szCs w:val="21"/>
                <w:lang w:val="en-US" w:eastAsia="zh-CN"/>
                <w14:textFill>
                  <w14:solidFill>
                    <w14:schemeClr w14:val="tx1"/>
                  </w14:solidFill>
                </w14:textFill>
              </w:rPr>
              <w:t>和权限设置，设定试卷公开和部分人员查看权限</w:t>
            </w:r>
            <w:r>
              <w:rPr>
                <w:rFonts w:hint="eastAsia"/>
                <w:color w:val="000000" w:themeColor="text1"/>
                <w:szCs w:val="21"/>
                <w:lang w:eastAsia="zh-CN"/>
                <w14:textFill>
                  <w14:solidFill>
                    <w14:schemeClr w14:val="tx1"/>
                  </w14:solidFill>
                </w14:textFill>
              </w:rPr>
              <w:t>。</w:t>
            </w:r>
          </w:p>
          <w:p w14:paraId="62974C45">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.能满足在线考试、在线自主练习和导出WORD试卷</w:t>
            </w:r>
            <w:r>
              <w:rPr>
                <w:rFonts w:hint="eastAsia"/>
                <w:color w:val="000000" w:themeColor="text1"/>
                <w:szCs w:val="21"/>
                <w:lang w:eastAsia="zh-CN"/>
                <w14:textFill>
                  <w14:solidFill>
                    <w14:schemeClr w14:val="tx1"/>
                  </w14:solidFill>
                </w14:textFill>
              </w:rPr>
              <w:t>。</w:t>
            </w:r>
          </w:p>
          <w:p w14:paraId="0E402B0E">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.能对考试档案进行多条件查询如：按科室统计、护理层级、学历统计分析和导出，并能对不及格人员可快速进行二次补考，并能进行对考试档案进行阶段分数统计</w:t>
            </w:r>
            <w:r>
              <w:rPr>
                <w:rFonts w:hint="eastAsia"/>
                <w:color w:val="000000" w:themeColor="text1"/>
                <w:szCs w:val="21"/>
                <w:lang w:eastAsia="zh-CN"/>
                <w14:textFill>
                  <w14:solidFill>
                    <w14:schemeClr w14:val="tx1"/>
                  </w14:solidFill>
                </w14:textFill>
              </w:rPr>
              <w:t>。</w:t>
            </w:r>
          </w:p>
          <w:p w14:paraId="7C7032D0">
            <w:pPr>
              <w:snapToGrid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.可对考试试卷的作弊设置包括：签到、试卷加密、人脸拍照、选项随机、试题随机、返回答题方式、监控次数、</w:t>
            </w:r>
            <w:r>
              <w:rPr>
                <w:rFonts w:hint="eastAsia"/>
                <w:color w:val="000000" w:themeColor="text1"/>
                <w:szCs w:val="21"/>
                <w:lang w:val="en-US" w:eastAsia="zh-CN"/>
                <w14:textFill>
                  <w14:solidFill>
                    <w14:schemeClr w14:val="tx1"/>
                  </w14:solidFill>
                </w14:textFill>
              </w:rPr>
              <w:t>监控时间、</w:t>
            </w:r>
            <w:r>
              <w:rPr>
                <w:rFonts w:hint="eastAsia"/>
                <w:color w:val="000000" w:themeColor="text1"/>
                <w:szCs w:val="21"/>
                <w14:textFill>
                  <w14:solidFill>
                    <w14:schemeClr w14:val="tx1"/>
                  </w14:solidFill>
                </w14:textFill>
              </w:rPr>
              <w:t>控制每题答题时长、控制返回上一题、控制成绩是否可见等设置，并能对考生交卷后，设置签退交卷等设置，具有消息提醒功能，出卷后一键通知考生；</w:t>
            </w:r>
            <w:r>
              <w:rPr>
                <w:rFonts w:hint="eastAsia"/>
                <w:color w:val="000000" w:themeColor="text1"/>
                <w:szCs w:val="21"/>
                <w:lang w:val="en-US" w:eastAsia="zh-CN"/>
                <w14:textFill>
                  <w14:solidFill>
                    <w14:schemeClr w14:val="tx1"/>
                  </w14:solidFill>
                </w14:textFill>
              </w:rPr>
              <w:t>正式考试可设置考生自主重考。</w:t>
            </w:r>
          </w:p>
          <w:p w14:paraId="45AB02B4">
            <w:pPr>
              <w:snapToGrid w:val="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r>
              <w:rPr>
                <w:rFonts w:hint="eastAsia"/>
                <w:color w:val="000000" w:themeColor="text1"/>
                <w:szCs w:val="21"/>
                <w14:textFill>
                  <w14:solidFill>
                    <w14:schemeClr w14:val="tx1"/>
                  </w14:solidFill>
                </w14:textFill>
              </w:rPr>
              <w:t>.试题库可自主化批量导入、关键词查询、修改和删除并对自建试题实行开放权限（部分开放、全员可见）等设置</w:t>
            </w:r>
            <w:r>
              <w:rPr>
                <w:rFonts w:hint="eastAsia"/>
                <w:color w:val="000000" w:themeColor="text1"/>
                <w:szCs w:val="21"/>
                <w:lang w:eastAsia="zh-CN"/>
                <w14:textFill>
                  <w14:solidFill>
                    <w14:schemeClr w14:val="tx1"/>
                  </w14:solidFill>
                </w14:textFill>
              </w:rPr>
              <w:t>。</w:t>
            </w:r>
          </w:p>
          <w:p w14:paraId="71AB71E8">
            <w:pPr>
              <w:snapToGrid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.对考试中的试卷可实现在手机或电脑上进行考试情况监控，实时了解考试进展状况，显示学员考试情况如作弊次数、作答时长以及整套试卷考试情况进度等情况；</w:t>
            </w:r>
            <w:r>
              <w:rPr>
                <w:rFonts w:hint="eastAsia"/>
                <w:color w:val="000000" w:themeColor="text1"/>
                <w:szCs w:val="21"/>
                <w:lang w:val="en-US" w:eastAsia="zh-CN"/>
                <w14:textFill>
                  <w14:solidFill>
                    <w14:schemeClr w14:val="tx1"/>
                  </w14:solidFill>
                </w14:textFill>
              </w:rPr>
              <w:t>考试过程中可新增考试人员，设置考生请假、重考和强制交卷。</w:t>
            </w:r>
          </w:p>
          <w:p w14:paraId="5E90F437">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.支持学员在移动端考试、练习、在线查询分数、错题以及管理员部分功能可在手机端进行人员管理、签到管理、理论考核监控等操作</w:t>
            </w:r>
            <w:r>
              <w:rPr>
                <w:rFonts w:hint="eastAsia"/>
                <w:color w:val="000000" w:themeColor="text1"/>
                <w:szCs w:val="21"/>
                <w:lang w:eastAsia="zh-CN"/>
                <w14:textFill>
                  <w14:solidFill>
                    <w14:schemeClr w14:val="tx1"/>
                  </w14:solidFill>
                </w14:textFill>
              </w:rPr>
              <w:t>。</w:t>
            </w:r>
          </w:p>
          <w:p w14:paraId="3E50E4E8">
            <w:pPr>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.系统功能模块可设置匿名考试，支持管理员设置匿名字段，姓名、科室、手机号等内容</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考生手机端一键扫码参加考试。</w:t>
            </w:r>
          </w:p>
          <w:p w14:paraId="785CA38E">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.系统考试安排支持考前预约，并对考场容纳考生人数进行限制管理，在考试过程也支持对预约考生人员进行调整考场场次的操作等设置</w:t>
            </w:r>
            <w:r>
              <w:rPr>
                <w:rFonts w:hint="eastAsia"/>
                <w:color w:val="000000" w:themeColor="text1"/>
                <w:szCs w:val="21"/>
                <w:lang w:eastAsia="zh-CN"/>
                <w14:textFill>
                  <w14:solidFill>
                    <w14:schemeClr w14:val="tx1"/>
                  </w14:solidFill>
                </w14:textFill>
              </w:rPr>
              <w:t>。</w:t>
            </w:r>
          </w:p>
          <w:p w14:paraId="74FC870C">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.系统支持对试卷进行一套或多套试卷同时设置的考试参与人员以及考试时间段等内容，并对试卷进行分类调整等相关操作</w:t>
            </w:r>
            <w:r>
              <w:rPr>
                <w:rFonts w:hint="eastAsia"/>
                <w:color w:val="000000" w:themeColor="text1"/>
                <w:szCs w:val="21"/>
                <w:lang w:eastAsia="zh-CN"/>
                <w14:textFill>
                  <w14:solidFill>
                    <w14:schemeClr w14:val="tx1"/>
                  </w14:solidFill>
                </w14:textFill>
              </w:rPr>
              <w:t>。</w:t>
            </w:r>
          </w:p>
          <w:p w14:paraId="145C1FD6">
            <w:pPr>
              <w:snapToGrid w:val="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.支持对个人考试情况进行汇总统计分析，如按分数段、姓名、职称、科室、时间段、考试分类、层级等条件进行查询。</w:t>
            </w:r>
          </w:p>
          <w:p w14:paraId="7F247CB7">
            <w:pPr>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.操作人员可对公共查询的试题进行收藏，收藏的试题同时也可以转为自建试题，同时可以发布练习方案，管理员可以监测练习学员以及考生练习情况。</w:t>
            </w:r>
          </w:p>
          <w:p w14:paraId="48163942">
            <w:pPr>
              <w:snapToGrid w:val="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.系统</w:t>
            </w:r>
            <w:r>
              <w:rPr>
                <w:rFonts w:hint="eastAsia"/>
                <w:color w:val="000000" w:themeColor="text1"/>
                <w:szCs w:val="21"/>
                <w:lang w:val="en-US" w:eastAsia="zh-CN"/>
                <w14:textFill>
                  <w14:solidFill>
                    <w14:schemeClr w14:val="tx1"/>
                  </w14:solidFill>
                </w14:textFill>
              </w:rPr>
              <w:t>成绩统计可自动生成图文并茂的分析报告，报告内容包含考试概况分析统计、科室考试统计、个人成绩排名和错题情况分析等，并支持一键导出下载成文档格式</w:t>
            </w:r>
            <w:r>
              <w:rPr>
                <w:rFonts w:hint="eastAsia"/>
                <w:color w:val="000000" w:themeColor="text1"/>
                <w:szCs w:val="21"/>
                <w14:textFill>
                  <w14:solidFill>
                    <w14:schemeClr w14:val="tx1"/>
                  </w14:solidFill>
                </w14:textFill>
              </w:rPr>
              <w:t>。</w:t>
            </w:r>
          </w:p>
          <w:p w14:paraId="7FA4DD8A">
            <w:pPr>
              <w:snapToGrid w:val="0"/>
              <w:rPr>
                <w:rFonts w:hint="eastAsia"/>
                <w:color w:val="000000" w:themeColor="text1"/>
                <w:szCs w:val="21"/>
                <w14:textFill>
                  <w14:solidFill>
                    <w14:schemeClr w14:val="tx1"/>
                  </w14:solidFill>
                </w14:textFill>
              </w:rPr>
            </w:pPr>
          </w:p>
        </w:tc>
        <w:tc>
          <w:tcPr>
            <w:tcW w:w="1843" w:type="dxa"/>
            <w:vAlign w:val="center"/>
          </w:tcPr>
          <w:p w14:paraId="6E11DE8E">
            <w:pPr>
              <w:rPr>
                <w:szCs w:val="21"/>
              </w:rPr>
            </w:pPr>
          </w:p>
        </w:tc>
        <w:tc>
          <w:tcPr>
            <w:tcW w:w="1276" w:type="dxa"/>
            <w:vAlign w:val="center"/>
          </w:tcPr>
          <w:p w14:paraId="7F11E76E">
            <w:pPr>
              <w:rPr>
                <w:rFonts w:ascii="宋体"/>
                <w:szCs w:val="21"/>
              </w:rPr>
            </w:pPr>
          </w:p>
        </w:tc>
        <w:tc>
          <w:tcPr>
            <w:tcW w:w="1276" w:type="dxa"/>
            <w:vAlign w:val="center"/>
          </w:tcPr>
          <w:p w14:paraId="29D8C9C8">
            <w:pPr>
              <w:snapToGrid w:val="0"/>
              <w:jc w:val="center"/>
              <w:rPr>
                <w:rFonts w:ascii="宋体"/>
                <w:szCs w:val="21"/>
              </w:rPr>
            </w:pPr>
          </w:p>
        </w:tc>
      </w:tr>
      <w:tr w14:paraId="5ECC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dxa"/>
            <w:vAlign w:val="center"/>
          </w:tcPr>
          <w:p w14:paraId="5C6EBEC8">
            <w:pPr>
              <w:numPr>
                <w:ilvl w:val="0"/>
                <w:numId w:val="3"/>
              </w:numPr>
              <w:snapToGrid w:val="0"/>
              <w:jc w:val="center"/>
              <w:rPr>
                <w:rFonts w:ascii="宋体"/>
                <w:szCs w:val="21"/>
              </w:rPr>
            </w:pPr>
          </w:p>
        </w:tc>
        <w:tc>
          <w:tcPr>
            <w:tcW w:w="3521" w:type="dxa"/>
            <w:vAlign w:val="center"/>
          </w:tcPr>
          <w:p w14:paraId="29076003">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1.云端系统软件在运行过程中所遇到的软件维护及问题的解决均由供应商负责</w:t>
            </w:r>
            <w:r>
              <w:rPr>
                <w:rFonts w:hint="eastAsia"/>
                <w:color w:val="000000" w:themeColor="text1"/>
                <w:szCs w:val="21"/>
                <w:lang w:eastAsia="zh-CN"/>
                <w14:textFill>
                  <w14:solidFill>
                    <w14:schemeClr w14:val="tx1"/>
                  </w14:solidFill>
                </w14:textFill>
              </w:rPr>
              <w:t>。</w:t>
            </w:r>
          </w:p>
          <w:p w14:paraId="700BD097">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2.供应商提供云服务租赁及系统维保工作，供应商应做好网络资源存储空间和网络带宽冗余，保证采购人使用应用软件运行正常和快速调用资源</w:t>
            </w:r>
            <w:r>
              <w:rPr>
                <w:rFonts w:hint="eastAsia"/>
                <w:color w:val="000000" w:themeColor="text1"/>
                <w:szCs w:val="21"/>
                <w:lang w:eastAsia="zh-CN"/>
                <w14:textFill>
                  <w14:solidFill>
                    <w14:schemeClr w14:val="tx1"/>
                  </w14:solidFill>
                </w14:textFill>
              </w:rPr>
              <w:t>。</w:t>
            </w:r>
          </w:p>
          <w:p w14:paraId="76EF8270">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3.定期做好资源数据更新，并提供更新表单；配合采购人做好相关自建资源、模板的工作</w:t>
            </w:r>
            <w:r>
              <w:rPr>
                <w:rFonts w:hint="eastAsia"/>
                <w:color w:val="000000" w:themeColor="text1"/>
                <w:szCs w:val="21"/>
                <w:lang w:eastAsia="zh-CN"/>
                <w14:textFill>
                  <w14:solidFill>
                    <w14:schemeClr w14:val="tx1"/>
                  </w14:solidFill>
                </w14:textFill>
              </w:rPr>
              <w:t>。</w:t>
            </w:r>
          </w:p>
          <w:p w14:paraId="4185E06D">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4.供应商每季度到客户单位回访，提供软件运行维护、故障排除和资源使用情况分析，及时处理问题和解答使用人员的操作问题、做好版本内的软件优化。做好相关巡检工作记录</w:t>
            </w:r>
            <w:r>
              <w:rPr>
                <w:rFonts w:hint="eastAsia"/>
                <w:color w:val="000000" w:themeColor="text1"/>
                <w:szCs w:val="21"/>
                <w:lang w:eastAsia="zh-CN"/>
                <w14:textFill>
                  <w14:solidFill>
                    <w14:schemeClr w14:val="tx1"/>
                  </w14:solidFill>
                </w14:textFill>
              </w:rPr>
              <w:t>。</w:t>
            </w:r>
          </w:p>
          <w:p w14:paraId="5A04D08A">
            <w:pPr>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5.供应商在接到甲方报修电话后，电话不能支持解决的，应安排工程师在不影响甲方的工作情况下，及时赶到现场查找原因，排除故障，直至软件正常使用。</w:t>
            </w:r>
          </w:p>
          <w:p w14:paraId="1B2F6187">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6.对采购人的重要考核、培训，需技术人员</w:t>
            </w:r>
            <w:r>
              <w:rPr>
                <w:rFonts w:hint="eastAsia"/>
                <w:color w:val="000000" w:themeColor="text1"/>
                <w:szCs w:val="21"/>
                <w:lang w:val="en-US" w:eastAsia="zh-CN"/>
                <w14:textFill>
                  <w14:solidFill>
                    <w14:schemeClr w14:val="tx1"/>
                  </w14:solidFill>
                </w14:textFill>
              </w:rPr>
              <w:t>进行</w:t>
            </w:r>
            <w:r>
              <w:rPr>
                <w:rFonts w:hint="eastAsia"/>
                <w:color w:val="000000" w:themeColor="text1"/>
                <w:szCs w:val="21"/>
                <w14:textFill>
                  <w14:solidFill>
                    <w14:schemeClr w14:val="tx1"/>
                  </w14:solidFill>
                </w14:textFill>
              </w:rPr>
              <w:t>保障</w:t>
            </w:r>
            <w:r>
              <w:rPr>
                <w:rFonts w:hint="eastAsia"/>
                <w:color w:val="000000" w:themeColor="text1"/>
                <w:szCs w:val="21"/>
                <w:lang w:val="en-US" w:eastAsia="zh-CN"/>
                <w14:textFill>
                  <w14:solidFill>
                    <w14:schemeClr w14:val="tx1"/>
                  </w14:solidFill>
                </w14:textFill>
              </w:rPr>
              <w:t>的</w:t>
            </w:r>
            <w:r>
              <w:rPr>
                <w:rFonts w:hint="eastAsia"/>
                <w:color w:val="000000" w:themeColor="text1"/>
                <w:szCs w:val="21"/>
                <w14:textFill>
                  <w14:solidFill>
                    <w14:schemeClr w14:val="tx1"/>
                  </w14:solidFill>
                </w14:textFill>
              </w:rPr>
              <w:t>，供应商应调配技术人员</w:t>
            </w:r>
            <w:r>
              <w:rPr>
                <w:rFonts w:hint="eastAsia"/>
                <w:color w:val="000000" w:themeColor="text1"/>
                <w:szCs w:val="21"/>
                <w:lang w:val="en-US" w:eastAsia="zh-CN"/>
                <w14:textFill>
                  <w14:solidFill>
                    <w14:schemeClr w14:val="tx1"/>
                  </w14:solidFill>
                </w14:textFill>
              </w:rPr>
              <w:t>安排专门技术</w:t>
            </w:r>
            <w:r>
              <w:rPr>
                <w:rFonts w:hint="eastAsia"/>
                <w:color w:val="000000" w:themeColor="text1"/>
                <w:szCs w:val="21"/>
                <w14:textFill>
                  <w14:solidFill>
                    <w14:schemeClr w14:val="tx1"/>
                  </w14:solidFill>
                </w14:textFill>
              </w:rPr>
              <w:t>保障</w:t>
            </w:r>
            <w:r>
              <w:rPr>
                <w:rFonts w:hint="eastAsia"/>
                <w:color w:val="000000" w:themeColor="text1"/>
                <w:szCs w:val="21"/>
                <w:lang w:eastAsia="zh-CN"/>
                <w14:textFill>
                  <w14:solidFill>
                    <w14:schemeClr w14:val="tx1"/>
                  </w14:solidFill>
                </w14:textFill>
              </w:rPr>
              <w:t>。</w:t>
            </w:r>
          </w:p>
          <w:p w14:paraId="7F55211D">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7.供应商所提供货物质量必须符合国家相关标准，必须满足本次采购的要求，若所供货物经产品质量检测机构检测认定质量不合格，造成的损失和后果由该供应商负全责</w:t>
            </w:r>
            <w:r>
              <w:rPr>
                <w:rFonts w:hint="eastAsia"/>
                <w:color w:val="000000" w:themeColor="text1"/>
                <w:szCs w:val="21"/>
                <w:lang w:eastAsia="zh-CN"/>
                <w14:textFill>
                  <w14:solidFill>
                    <w14:schemeClr w14:val="tx1"/>
                  </w14:solidFill>
                </w14:textFill>
              </w:rPr>
              <w:t>。</w:t>
            </w:r>
          </w:p>
          <w:p w14:paraId="1033B8DF">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8.维护响应。随时为采购人以电话、微信、电子邮件方式免费提供所买产品的服务与技术支持维护，通常数据库系统故障，提供实时响应解决。做到：30分钟内响应、1小时内解决问题、4小时解决不了的，在中心网站开通临时账号或提供备用服务器</w:t>
            </w:r>
            <w:r>
              <w:rPr>
                <w:rFonts w:hint="eastAsia"/>
                <w:color w:val="000000" w:themeColor="text1"/>
                <w:szCs w:val="21"/>
                <w:lang w:eastAsia="zh-CN"/>
                <w14:textFill>
                  <w14:solidFill>
                    <w14:schemeClr w14:val="tx1"/>
                  </w14:solidFill>
                </w14:textFill>
              </w:rPr>
              <w:t>。</w:t>
            </w:r>
          </w:p>
          <w:p w14:paraId="52EAC4D3">
            <w:pPr>
              <w:snapToGrid w:val="0"/>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9.对系统在质保期内免费提供技术支持和维护，根据采购人需要对操作人员进行软件操作培训和医务人员集中培训</w:t>
            </w:r>
            <w:r>
              <w:rPr>
                <w:rFonts w:hint="eastAsia"/>
                <w:color w:val="000000" w:themeColor="text1"/>
                <w:szCs w:val="21"/>
                <w:lang w:eastAsia="zh-CN"/>
                <w14:textFill>
                  <w14:solidFill>
                    <w14:schemeClr w14:val="tx1"/>
                  </w14:solidFill>
                </w14:textFill>
              </w:rPr>
              <w:t>。</w:t>
            </w:r>
          </w:p>
          <w:p w14:paraId="6E72BABC">
            <w:pPr>
              <w:snapToGrid w:val="0"/>
              <w:rPr>
                <w:rFonts w:ascii="宋体"/>
                <w:szCs w:val="21"/>
              </w:rPr>
            </w:pPr>
          </w:p>
        </w:tc>
        <w:tc>
          <w:tcPr>
            <w:tcW w:w="1843" w:type="dxa"/>
            <w:vAlign w:val="center"/>
          </w:tcPr>
          <w:p w14:paraId="5A9B5668">
            <w:pPr>
              <w:snapToGrid w:val="0"/>
              <w:rPr>
                <w:rFonts w:ascii="宋体"/>
                <w:szCs w:val="21"/>
              </w:rPr>
            </w:pPr>
          </w:p>
        </w:tc>
        <w:tc>
          <w:tcPr>
            <w:tcW w:w="1276" w:type="dxa"/>
            <w:vAlign w:val="center"/>
          </w:tcPr>
          <w:p w14:paraId="13818257">
            <w:pPr>
              <w:snapToGrid w:val="0"/>
              <w:jc w:val="center"/>
              <w:rPr>
                <w:rFonts w:ascii="宋体"/>
                <w:szCs w:val="21"/>
              </w:rPr>
            </w:pPr>
          </w:p>
        </w:tc>
        <w:tc>
          <w:tcPr>
            <w:tcW w:w="1276" w:type="dxa"/>
            <w:vAlign w:val="center"/>
          </w:tcPr>
          <w:p w14:paraId="1ABE705C">
            <w:pPr>
              <w:snapToGrid w:val="0"/>
              <w:ind w:right="-35"/>
              <w:jc w:val="center"/>
              <w:rPr>
                <w:rFonts w:ascii="宋体"/>
                <w:szCs w:val="21"/>
              </w:rPr>
            </w:pPr>
          </w:p>
        </w:tc>
      </w:tr>
    </w:tbl>
    <w:p w14:paraId="135C9BEB">
      <w:pPr>
        <w:spacing w:line="300" w:lineRule="auto"/>
        <w:ind w:left="630" w:hanging="630" w:hangingChars="300"/>
        <w:rPr>
          <w:rFonts w:ascii="宋体"/>
          <w:bCs/>
          <w:szCs w:val="21"/>
          <w:lang w:val="en-GB"/>
        </w:rPr>
      </w:pPr>
      <w:r>
        <w:rPr>
          <w:rFonts w:hint="eastAsia" w:ascii="宋体" w:hAnsi="宋体"/>
          <w:bCs/>
          <w:szCs w:val="21"/>
        </w:rPr>
        <w:t>说明：</w:t>
      </w:r>
      <w:r>
        <w:rPr>
          <w:rFonts w:ascii="宋体" w:hAnsi="宋体"/>
          <w:bCs/>
          <w:szCs w:val="21"/>
          <w:lang w:val="en-GB"/>
        </w:rPr>
        <w:t>1.</w:t>
      </w:r>
      <w:r>
        <w:rPr>
          <w:rFonts w:hint="eastAsia" w:ascii="宋体" w:hAnsi="宋体"/>
          <w:bCs/>
          <w:szCs w:val="21"/>
        </w:rPr>
        <w:t>投标人按用户需求书的项目要求对应回答，</w:t>
      </w:r>
      <w:r>
        <w:rPr>
          <w:rFonts w:hint="eastAsia" w:ascii="宋体" w:hAnsi="宋体"/>
          <w:bCs/>
          <w:szCs w:val="21"/>
          <w:lang w:val="en-GB"/>
        </w:rPr>
        <w:t>如投标人完全响应或优于，则请在“是否响应”栏内填“是”或“优于”，如投标人不完全响应，则填“否”，并在“偏离说明”栏内扼要说明偏离情况。</w:t>
      </w:r>
    </w:p>
    <w:p w14:paraId="2B862544">
      <w:pPr>
        <w:widowControl/>
        <w:snapToGrid w:val="0"/>
        <w:spacing w:line="360" w:lineRule="auto"/>
        <w:jc w:val="left"/>
        <w:rPr>
          <w:sz w:val="24"/>
          <w:szCs w:val="24"/>
        </w:rPr>
      </w:pPr>
    </w:p>
    <w:p w14:paraId="67172208">
      <w:pPr>
        <w:widowControl/>
        <w:snapToGrid w:val="0"/>
        <w:spacing w:line="360" w:lineRule="auto"/>
        <w:jc w:val="left"/>
        <w:rPr>
          <w:sz w:val="24"/>
          <w:szCs w:val="24"/>
        </w:rPr>
      </w:pPr>
    </w:p>
    <w:p w14:paraId="3D1750AF">
      <w:pPr>
        <w:widowControl/>
        <w:snapToGrid w:val="0"/>
        <w:spacing w:line="360" w:lineRule="auto"/>
        <w:jc w:val="left"/>
        <w:rPr>
          <w:sz w:val="24"/>
          <w:szCs w:val="24"/>
        </w:rPr>
      </w:pPr>
    </w:p>
    <w:p w14:paraId="20DCC09F">
      <w:pPr>
        <w:widowControl/>
        <w:snapToGrid w:val="0"/>
        <w:spacing w:line="360" w:lineRule="auto"/>
        <w:jc w:val="left"/>
        <w:rPr>
          <w:sz w:val="24"/>
          <w:szCs w:val="24"/>
        </w:rPr>
      </w:pPr>
    </w:p>
    <w:p w14:paraId="49241B35">
      <w:pPr>
        <w:widowControl/>
        <w:snapToGrid w:val="0"/>
        <w:spacing w:line="360" w:lineRule="auto"/>
        <w:jc w:val="left"/>
        <w:rPr>
          <w:sz w:val="24"/>
          <w:szCs w:val="24"/>
        </w:rPr>
      </w:pPr>
    </w:p>
    <w:p w14:paraId="4ED4A6C6">
      <w:pPr>
        <w:widowControl/>
        <w:rPr>
          <w:b/>
          <w:sz w:val="28"/>
        </w:rPr>
      </w:pPr>
      <w:r>
        <w:rPr>
          <w:rFonts w:hint="eastAsia"/>
          <w:b/>
          <w:sz w:val="28"/>
        </w:rPr>
        <w:t>附件一：</w:t>
      </w:r>
    </w:p>
    <w:p w14:paraId="194C28BD">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bCs/>
          <w:i w:val="0"/>
          <w:iCs w:val="0"/>
          <w:caps w:val="0"/>
          <w:color w:val="auto"/>
          <w:spacing w:val="0"/>
          <w:sz w:val="36"/>
          <w:szCs w:val="36"/>
          <w:highlight w:val="none"/>
          <w:shd w:val="clear" w:fill="FFFFFF"/>
          <w:lang w:eastAsia="zh-CN"/>
        </w:rPr>
      </w:pPr>
      <w:r>
        <w:rPr>
          <w:rFonts w:hint="eastAsia" w:asciiTheme="majorEastAsia" w:hAnsiTheme="majorEastAsia" w:eastAsiaTheme="majorEastAsia" w:cstheme="majorEastAsia"/>
          <w:b/>
          <w:bCs/>
          <w:i w:val="0"/>
          <w:iCs w:val="0"/>
          <w:caps w:val="0"/>
          <w:color w:val="auto"/>
          <w:spacing w:val="0"/>
          <w:sz w:val="36"/>
          <w:szCs w:val="36"/>
          <w:highlight w:val="none"/>
          <w:shd w:val="clear" w:fill="FFFFFF"/>
          <w:lang w:eastAsia="zh-CN"/>
        </w:rPr>
        <w:t>民众医院医学考试系统产品参数</w:t>
      </w:r>
    </w:p>
    <w:p w14:paraId="473288FE">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i w:val="0"/>
          <w:iCs w:val="0"/>
          <w:caps w:val="0"/>
          <w:color w:val="auto"/>
          <w:spacing w:val="0"/>
          <w:sz w:val="24"/>
          <w:szCs w:val="24"/>
          <w:highlight w:val="none"/>
          <w:shd w:val="clear" w:fill="FFFFFF"/>
          <w:lang w:eastAsia="zh-CN"/>
        </w:rPr>
      </w:pPr>
    </w:p>
    <w:p w14:paraId="3A960AA8">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kern w:val="2"/>
          <w:sz w:val="24"/>
          <w:szCs w:val="24"/>
          <w:highlight w:val="none"/>
          <w:shd w:val="clear" w:fill="FFFFFF"/>
          <w:lang w:val="en-US" w:eastAsia="zh-CN" w:bidi="ar-SA"/>
        </w:rPr>
        <w:t>一、</w:t>
      </w:r>
      <w:r>
        <w:rPr>
          <w:rFonts w:hint="eastAsia" w:ascii="黑体" w:hAnsi="黑体" w:eastAsia="黑体" w:cs="黑体"/>
          <w:i w:val="0"/>
          <w:iCs w:val="0"/>
          <w:caps w:val="0"/>
          <w:color w:val="auto"/>
          <w:spacing w:val="0"/>
          <w:sz w:val="24"/>
          <w:szCs w:val="24"/>
          <w:highlight w:val="none"/>
          <w:shd w:val="clear" w:fill="FFFFFF"/>
          <w:lang w:eastAsia="zh-CN"/>
        </w:rPr>
        <w:t>系统性能要求</w:t>
      </w:r>
    </w:p>
    <w:p w14:paraId="12FFBD15">
      <w:pPr>
        <w:pStyle w:val="2"/>
        <w:shd w:val="clear" w:color="auto" w:fill="FFFFFF"/>
        <w:spacing w:before="0" w:beforeAutospacing="0" w:after="0" w:afterAutospacing="0"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sz w:val="24"/>
          <w:szCs w:val="24"/>
          <w:highlight w:val="none"/>
        </w:rPr>
        <w:t>系统峰值并发处理能力应达到1000个并发数以上</w:t>
      </w:r>
      <w:r>
        <w:rPr>
          <w:rFonts w:hint="eastAsia" w:ascii="仿宋" w:hAnsi="仿宋" w:eastAsia="仿宋" w:cs="仿宋"/>
          <w:b w:val="0"/>
          <w:bCs w:val="0"/>
          <w:color w:val="auto"/>
          <w:sz w:val="24"/>
          <w:szCs w:val="24"/>
          <w:highlight w:val="none"/>
          <w:lang w:eastAsia="zh-CN"/>
        </w:rPr>
        <w:t>。</w:t>
      </w:r>
    </w:p>
    <w:p w14:paraId="5537B455">
      <w:pPr>
        <w:pStyle w:val="2"/>
        <w:shd w:val="clear" w:color="auto" w:fill="FFFFFF"/>
        <w:spacing w:before="0" w:beforeAutospacing="0" w:after="0" w:afterAutospacing="0" w:line="360" w:lineRule="auto"/>
        <w:ind w:firstLine="480" w:firstLineChars="200"/>
        <w:rPr>
          <w:rFonts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eastAsia="zh-CN"/>
        </w:rPr>
        <w:t>系统</w:t>
      </w:r>
      <w:r>
        <w:rPr>
          <w:rFonts w:hint="eastAsia" w:ascii="仿宋" w:hAnsi="仿宋" w:eastAsia="仿宋" w:cs="仿宋"/>
          <w:b w:val="0"/>
          <w:bCs w:val="0"/>
          <w:color w:val="auto"/>
          <w:kern w:val="0"/>
          <w:sz w:val="24"/>
          <w:szCs w:val="24"/>
          <w:highlight w:val="none"/>
        </w:rPr>
        <w:t>响应时间不超过5秒，</w:t>
      </w:r>
      <w:r>
        <w:rPr>
          <w:rFonts w:hint="eastAsia" w:ascii="仿宋" w:hAnsi="仿宋" w:eastAsia="仿宋" w:cs="仿宋"/>
          <w:b w:val="0"/>
          <w:bCs w:val="0"/>
          <w:color w:val="auto"/>
          <w:kern w:val="0"/>
          <w:sz w:val="24"/>
          <w:szCs w:val="24"/>
          <w:highlight w:val="none"/>
          <w:lang w:eastAsia="zh-CN"/>
        </w:rPr>
        <w:t>最高可支持</w:t>
      </w:r>
      <w:r>
        <w:rPr>
          <w:rFonts w:hint="eastAsia" w:ascii="仿宋" w:hAnsi="仿宋" w:eastAsia="仿宋" w:cs="仿宋"/>
          <w:b w:val="0"/>
          <w:bCs w:val="0"/>
          <w:color w:val="auto"/>
          <w:kern w:val="0"/>
          <w:sz w:val="24"/>
          <w:szCs w:val="24"/>
          <w:highlight w:val="none"/>
          <w:lang w:val="en-US" w:eastAsia="zh-CN"/>
        </w:rPr>
        <w:t>5000人的同时联网运行，</w:t>
      </w:r>
      <w:r>
        <w:rPr>
          <w:rFonts w:hint="eastAsia" w:ascii="仿宋" w:hAnsi="仿宋" w:eastAsia="仿宋" w:cs="仿宋"/>
          <w:b w:val="0"/>
          <w:bCs w:val="0"/>
          <w:color w:val="auto"/>
          <w:kern w:val="0"/>
          <w:sz w:val="24"/>
          <w:szCs w:val="24"/>
          <w:highlight w:val="none"/>
        </w:rPr>
        <w:t>开发出的系统具有可扩展性、稳定性、安全性</w:t>
      </w:r>
      <w:r>
        <w:rPr>
          <w:rFonts w:hint="eastAsia" w:ascii="仿宋" w:hAnsi="仿宋" w:eastAsia="仿宋" w:cs="仿宋"/>
          <w:b w:val="0"/>
          <w:bCs w:val="0"/>
          <w:color w:val="auto"/>
          <w:kern w:val="0"/>
          <w:sz w:val="24"/>
          <w:szCs w:val="24"/>
          <w:highlight w:val="none"/>
          <w:lang w:eastAsia="zh-CN"/>
        </w:rPr>
        <w:t>、兼容性。</w:t>
      </w:r>
    </w:p>
    <w:p w14:paraId="1D2FC7E0">
      <w:pPr>
        <w:pStyle w:val="2"/>
        <w:shd w:val="clear" w:color="auto" w:fill="FFFFFF"/>
        <w:spacing w:before="0" w:beforeAutospacing="0" w:after="0" w:afterAutospacing="0" w:line="360" w:lineRule="auto"/>
        <w:ind w:firstLine="480" w:firstLineChars="200"/>
        <w:rPr>
          <w:rFonts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w:t>
      </w:r>
      <w:r>
        <w:rPr>
          <w:rFonts w:hint="eastAsia" w:ascii="仿宋" w:hAnsi="仿宋" w:eastAsia="仿宋" w:cs="仿宋"/>
          <w:b w:val="0"/>
          <w:bCs w:val="0"/>
          <w:color w:val="auto"/>
          <w:sz w:val="24"/>
          <w:szCs w:val="24"/>
          <w:highlight w:val="none"/>
        </w:rPr>
        <w:t>支持PC客户端、PC Web端和移动端，提供云服务模式，可供院内院外联网使用。</w:t>
      </w:r>
      <w:r>
        <w:rPr>
          <w:rFonts w:hint="eastAsia" w:ascii="仿宋" w:hAnsi="仿宋" w:eastAsia="仿宋" w:cs="仿宋"/>
          <w:b w:val="0"/>
          <w:bCs w:val="0"/>
          <w:color w:val="auto"/>
          <w:kern w:val="0"/>
          <w:sz w:val="24"/>
          <w:szCs w:val="24"/>
          <w:highlight w:val="none"/>
        </w:rPr>
        <w:t>移动端采用公众号作为应用入口，无需另行下载安装APP应用。</w:t>
      </w:r>
    </w:p>
    <w:p w14:paraId="551EC735">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Theme="majorEastAsia" w:hAnsiTheme="majorEastAsia" w:eastAsiaTheme="majorEastAsia" w:cstheme="majorEastAsia"/>
          <w:i w:val="0"/>
          <w:iCs w:val="0"/>
          <w:caps w:val="0"/>
          <w:color w:val="auto"/>
          <w:spacing w:val="0"/>
          <w:sz w:val="24"/>
          <w:szCs w:val="24"/>
          <w:highlight w:val="none"/>
          <w:shd w:val="clear" w:fill="FFFFFF"/>
          <w:lang w:eastAsia="zh-CN"/>
        </w:rPr>
      </w:pPr>
      <w:r>
        <w:rPr>
          <w:rFonts w:hint="eastAsia" w:ascii="仿宋" w:hAnsi="仿宋" w:eastAsia="仿宋" w:cs="仿宋"/>
          <w:b w:val="0"/>
          <w:bCs w:val="0"/>
          <w:color w:val="auto"/>
          <w:kern w:val="0"/>
          <w:sz w:val="24"/>
          <w:szCs w:val="24"/>
          <w:highlight w:val="none"/>
        </w:rPr>
        <w:t>4.支持硬件资源（如服务器运算能力、存储能力等）的弹性供应，以便满足</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rPr>
        <w:t>所有人员同时使用的高并发需求，</w:t>
      </w:r>
      <w:r>
        <w:rPr>
          <w:rFonts w:hint="eastAsia" w:ascii="仿宋" w:hAnsi="仿宋" w:eastAsia="仿宋" w:cs="仿宋"/>
          <w:b w:val="0"/>
          <w:bCs w:val="0"/>
          <w:color w:val="auto"/>
          <w:kern w:val="0"/>
          <w:sz w:val="24"/>
          <w:szCs w:val="24"/>
          <w:highlight w:val="none"/>
          <w:lang w:val="en-US" w:eastAsia="zh-CN"/>
        </w:rPr>
        <w:t>采购人使用期间</w:t>
      </w:r>
      <w:r>
        <w:rPr>
          <w:rFonts w:hint="eastAsia" w:ascii="仿宋" w:hAnsi="仿宋" w:eastAsia="仿宋" w:cs="仿宋"/>
          <w:b w:val="0"/>
          <w:bCs w:val="0"/>
          <w:color w:val="auto"/>
          <w:kern w:val="0"/>
          <w:sz w:val="24"/>
          <w:szCs w:val="24"/>
          <w:highlight w:val="none"/>
        </w:rPr>
        <w:t>无需硬件投入。</w:t>
      </w:r>
    </w:p>
    <w:p w14:paraId="4445584B">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Theme="majorEastAsia" w:hAnsiTheme="majorEastAsia" w:eastAsiaTheme="majorEastAsia" w:cstheme="majorEastAsia"/>
          <w:i w:val="0"/>
          <w:iCs w:val="0"/>
          <w:caps w:val="0"/>
          <w:color w:val="auto"/>
          <w:spacing w:val="0"/>
          <w:sz w:val="24"/>
          <w:szCs w:val="24"/>
          <w:highlight w:val="none"/>
          <w:shd w:val="clear" w:fill="FFFFFF"/>
          <w:lang w:eastAsia="zh-CN"/>
        </w:rPr>
      </w:pPr>
    </w:p>
    <w:p w14:paraId="10F45E75">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kern w:val="2"/>
          <w:sz w:val="24"/>
          <w:szCs w:val="24"/>
          <w:highlight w:val="none"/>
          <w:shd w:val="clear" w:fill="FFFFFF"/>
          <w:lang w:val="en-US" w:eastAsia="zh-CN" w:bidi="ar-SA"/>
        </w:rPr>
        <w:t>二、</w:t>
      </w:r>
      <w:r>
        <w:rPr>
          <w:rFonts w:hint="eastAsia" w:ascii="黑体" w:hAnsi="黑体" w:eastAsia="黑体" w:cs="黑体"/>
          <w:i w:val="0"/>
          <w:iCs w:val="0"/>
          <w:caps w:val="0"/>
          <w:color w:val="auto"/>
          <w:spacing w:val="0"/>
          <w:sz w:val="24"/>
          <w:szCs w:val="24"/>
          <w:highlight w:val="none"/>
          <w:shd w:val="clear" w:fill="FFFFFF"/>
          <w:lang w:eastAsia="zh-CN"/>
        </w:rPr>
        <w:t>系统功能要求</w:t>
      </w:r>
    </w:p>
    <w:p w14:paraId="055BA5A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可实现云考试服务，电脑端与移动端相结合的练习、</w:t>
      </w:r>
      <w:r>
        <w:rPr>
          <w:rFonts w:hint="eastAsia" w:ascii="仿宋" w:hAnsi="仿宋" w:eastAsia="仿宋" w:cs="仿宋"/>
          <w:color w:val="auto"/>
          <w:sz w:val="24"/>
          <w:szCs w:val="24"/>
          <w:highlight w:val="none"/>
          <w:lang w:val="en-US" w:eastAsia="zh-CN"/>
        </w:rPr>
        <w:t>模拟、</w:t>
      </w:r>
      <w:r>
        <w:rPr>
          <w:rFonts w:hint="eastAsia" w:ascii="仿宋" w:hAnsi="仿宋" w:eastAsia="仿宋" w:cs="仿宋"/>
          <w:color w:val="auto"/>
          <w:sz w:val="24"/>
          <w:szCs w:val="24"/>
          <w:highlight w:val="none"/>
        </w:rPr>
        <w:t>考试</w:t>
      </w:r>
      <w:r>
        <w:rPr>
          <w:rFonts w:hint="eastAsia" w:ascii="仿宋" w:hAnsi="仿宋" w:eastAsia="仿宋" w:cs="仿宋"/>
          <w:color w:val="auto"/>
          <w:sz w:val="24"/>
          <w:szCs w:val="24"/>
          <w:highlight w:val="none"/>
          <w:lang w:val="en-US" w:eastAsia="zh-CN"/>
        </w:rPr>
        <w:t>及竞赛</w:t>
      </w:r>
      <w:r>
        <w:rPr>
          <w:rFonts w:hint="eastAsia" w:ascii="仿宋" w:hAnsi="仿宋" w:eastAsia="仿宋" w:cs="仿宋"/>
          <w:color w:val="auto"/>
          <w:sz w:val="24"/>
          <w:szCs w:val="24"/>
          <w:highlight w:val="none"/>
        </w:rPr>
        <w:t>模式</w:t>
      </w:r>
      <w:r>
        <w:rPr>
          <w:rFonts w:hint="eastAsia" w:ascii="仿宋" w:hAnsi="仿宋" w:eastAsia="仿宋" w:cs="仿宋"/>
          <w:color w:val="auto"/>
          <w:sz w:val="24"/>
          <w:szCs w:val="24"/>
          <w:highlight w:val="none"/>
          <w:lang w:eastAsia="zh-CN"/>
        </w:rPr>
        <w:t>。</w:t>
      </w:r>
    </w:p>
    <w:p w14:paraId="610E7D38">
      <w:pPr>
        <w:widowControl/>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*2.系统需提供试题</w:t>
      </w:r>
      <w:r>
        <w:rPr>
          <w:rFonts w:hint="eastAsia" w:ascii="仿宋" w:hAnsi="仿宋" w:eastAsia="仿宋" w:cs="仿宋"/>
          <w:color w:val="auto"/>
          <w:sz w:val="24"/>
          <w:szCs w:val="24"/>
          <w:highlight w:val="none"/>
        </w:rPr>
        <w:t>包含：三基考试（医、护、技、药）、职称晋升考试、执业医师考试、执业助理医师考试、</w:t>
      </w:r>
      <w:r>
        <w:rPr>
          <w:rFonts w:hint="eastAsia" w:ascii="仿宋" w:hAnsi="仿宋" w:eastAsia="仿宋" w:cs="仿宋"/>
          <w:color w:val="auto"/>
          <w:sz w:val="24"/>
          <w:szCs w:val="24"/>
          <w:highlight w:val="none"/>
          <w:lang w:val="en-US" w:eastAsia="zh-CN"/>
        </w:rPr>
        <w:t>全科医师和助理全科医师考试、</w:t>
      </w:r>
      <w:r>
        <w:rPr>
          <w:rFonts w:hint="eastAsia" w:ascii="仿宋" w:hAnsi="仿宋" w:eastAsia="仿宋" w:cs="仿宋"/>
          <w:color w:val="auto"/>
          <w:sz w:val="24"/>
          <w:szCs w:val="24"/>
          <w:highlight w:val="none"/>
        </w:rPr>
        <w:t>临床护理考试、医院感染管理试题、妇幼专科试题、中医试题库、执业护师考试、</w:t>
      </w:r>
      <w:r>
        <w:rPr>
          <w:rFonts w:hint="eastAsia" w:ascii="仿宋" w:hAnsi="仿宋" w:eastAsia="仿宋" w:cs="仿宋"/>
          <w:color w:val="auto"/>
          <w:sz w:val="24"/>
          <w:szCs w:val="24"/>
          <w:highlight w:val="none"/>
          <w:lang w:val="en-US" w:eastAsia="zh-CN"/>
        </w:rPr>
        <w:t>自建试题库</w:t>
      </w:r>
      <w:r>
        <w:rPr>
          <w:rFonts w:hint="eastAsia" w:ascii="仿宋" w:hAnsi="仿宋" w:eastAsia="仿宋" w:cs="仿宋"/>
          <w:color w:val="auto"/>
          <w:sz w:val="24"/>
          <w:szCs w:val="24"/>
          <w:highlight w:val="none"/>
          <w:lang w:eastAsia="zh-CN"/>
        </w:rPr>
        <w:t>。</w:t>
      </w:r>
    </w:p>
    <w:p w14:paraId="036AC2B2">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.系统支持考试考组人员划分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管理员可自主</w:t>
      </w:r>
      <w:r>
        <w:rPr>
          <w:rFonts w:hint="eastAsia" w:ascii="仿宋" w:hAnsi="仿宋" w:eastAsia="仿宋" w:cs="仿宋"/>
          <w:color w:val="auto"/>
          <w:sz w:val="24"/>
          <w:szCs w:val="24"/>
          <w:highlight w:val="none"/>
          <w:lang w:val="en-US" w:eastAsia="zh-CN"/>
        </w:rPr>
        <w:t>增加分级管理员、自定义角色和</w:t>
      </w:r>
      <w:r>
        <w:rPr>
          <w:rFonts w:hint="eastAsia" w:ascii="仿宋" w:hAnsi="仿宋" w:eastAsia="仿宋" w:cs="仿宋"/>
          <w:color w:val="auto"/>
          <w:sz w:val="24"/>
          <w:szCs w:val="24"/>
          <w:highlight w:val="none"/>
        </w:rPr>
        <w:t>进行权限管理模块设置等操作</w:t>
      </w:r>
      <w:r>
        <w:rPr>
          <w:rFonts w:hint="eastAsia" w:ascii="仿宋" w:hAnsi="仿宋" w:eastAsia="仿宋" w:cs="仿宋"/>
          <w:color w:val="auto"/>
          <w:sz w:val="24"/>
          <w:szCs w:val="24"/>
          <w:highlight w:val="none"/>
          <w:lang w:eastAsia="zh-CN"/>
        </w:rPr>
        <w:t>。</w:t>
      </w:r>
    </w:p>
    <w:p w14:paraId="6464BF37">
      <w:pPr>
        <w:widowControl/>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.系统满足用户个人自主注册、单个用户新增和批量导入、修改、导出和批量设备解绑等功能，科室设置、职称设置、护理层级、职务、专业设置以及权限分级设置等操作</w:t>
      </w:r>
      <w:r>
        <w:rPr>
          <w:rFonts w:hint="eastAsia" w:ascii="仿宋" w:hAnsi="仿宋" w:eastAsia="仿宋" w:cs="仿宋"/>
          <w:color w:val="auto"/>
          <w:kern w:val="0"/>
          <w:sz w:val="24"/>
          <w:szCs w:val="24"/>
          <w:highlight w:val="none"/>
          <w:lang w:eastAsia="zh-CN"/>
        </w:rPr>
        <w:t>。</w:t>
      </w:r>
    </w:p>
    <w:p w14:paraId="08D25CA9">
      <w:pPr>
        <w:widowControl/>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.系统支持批量多份试卷安排设置，支持按照科室、职称、年龄、层级等条件进行筛选参考考生信息，同时也支持选择考组人员等设置进行操作</w:t>
      </w:r>
      <w:r>
        <w:rPr>
          <w:rFonts w:hint="eastAsia" w:ascii="仿宋" w:hAnsi="仿宋" w:eastAsia="仿宋" w:cs="仿宋"/>
          <w:color w:val="auto"/>
          <w:kern w:val="0"/>
          <w:sz w:val="24"/>
          <w:szCs w:val="24"/>
          <w:highlight w:val="none"/>
          <w:lang w:eastAsia="zh-CN"/>
        </w:rPr>
        <w:t>。</w:t>
      </w:r>
    </w:p>
    <w:p w14:paraId="777B750B">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.系统出卷简易、精细，且支持多元化组卷方式，随机出卷法、按知识点出卷法、必考题出卷法，可进行模拟测试、正规考试等，可对每份试卷进行分类管理</w:t>
      </w:r>
      <w:r>
        <w:rPr>
          <w:rFonts w:hint="eastAsia" w:ascii="仿宋" w:hAnsi="仿宋" w:eastAsia="仿宋" w:cs="仿宋"/>
          <w:color w:val="auto"/>
          <w:kern w:val="0"/>
          <w:sz w:val="24"/>
          <w:szCs w:val="24"/>
          <w:highlight w:val="none"/>
          <w:lang w:val="en-US" w:eastAsia="zh-CN"/>
        </w:rPr>
        <w:t>和权限设置，设定试卷公开和部分人员查看权限</w:t>
      </w:r>
      <w:r>
        <w:rPr>
          <w:rFonts w:hint="eastAsia" w:ascii="仿宋" w:hAnsi="仿宋" w:eastAsia="仿宋" w:cs="仿宋"/>
          <w:color w:val="auto"/>
          <w:kern w:val="0"/>
          <w:sz w:val="24"/>
          <w:szCs w:val="24"/>
          <w:highlight w:val="none"/>
          <w:lang w:eastAsia="zh-CN"/>
        </w:rPr>
        <w:t>。</w:t>
      </w:r>
    </w:p>
    <w:p w14:paraId="31B18BA6">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.能满足在线考试、在线自主练习和导出WORD试卷</w:t>
      </w:r>
      <w:r>
        <w:rPr>
          <w:rFonts w:hint="eastAsia" w:ascii="仿宋" w:hAnsi="仿宋" w:eastAsia="仿宋" w:cs="仿宋"/>
          <w:color w:val="auto"/>
          <w:kern w:val="0"/>
          <w:sz w:val="24"/>
          <w:szCs w:val="24"/>
          <w:highlight w:val="none"/>
          <w:lang w:eastAsia="zh-CN"/>
        </w:rPr>
        <w:t>。</w:t>
      </w:r>
    </w:p>
    <w:p w14:paraId="691F32CF">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.能对考试档案进行多条件查询如：按科室统计、护理层级、学历统计分析和导出，并能对不及格人员可快速进行二次补考，并能进行对考试档案进行阶段分数统计</w:t>
      </w:r>
      <w:r>
        <w:rPr>
          <w:rFonts w:hint="eastAsia" w:ascii="仿宋" w:hAnsi="仿宋" w:eastAsia="仿宋" w:cs="仿宋"/>
          <w:color w:val="auto"/>
          <w:kern w:val="0"/>
          <w:sz w:val="24"/>
          <w:szCs w:val="24"/>
          <w:highlight w:val="none"/>
          <w:lang w:eastAsia="zh-CN"/>
        </w:rPr>
        <w:t>。</w:t>
      </w:r>
    </w:p>
    <w:p w14:paraId="4B062BC5">
      <w:pPr>
        <w:widowControl/>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.可对考试试卷的作弊设置包括：签到、试卷加密、人脸拍照、选项随机、试题随机、返回答题方式、监控次数、</w:t>
      </w:r>
      <w:r>
        <w:rPr>
          <w:rFonts w:hint="eastAsia" w:ascii="仿宋" w:hAnsi="仿宋" w:eastAsia="仿宋" w:cs="仿宋"/>
          <w:color w:val="auto"/>
          <w:kern w:val="0"/>
          <w:sz w:val="24"/>
          <w:szCs w:val="24"/>
          <w:highlight w:val="none"/>
          <w:lang w:val="en-US" w:eastAsia="zh-CN"/>
        </w:rPr>
        <w:t>监控时间、</w:t>
      </w:r>
      <w:r>
        <w:rPr>
          <w:rFonts w:hint="eastAsia" w:ascii="仿宋" w:hAnsi="仿宋" w:eastAsia="仿宋" w:cs="仿宋"/>
          <w:color w:val="auto"/>
          <w:kern w:val="0"/>
          <w:sz w:val="24"/>
          <w:szCs w:val="24"/>
          <w:highlight w:val="none"/>
        </w:rPr>
        <w:t>控制每题答题时长、控制返回上一题、控制成绩是否可见等设置，并能对考生交卷后，设置签退交卷等设置，具有消息提醒功能，出卷后一键通知考生；</w:t>
      </w:r>
      <w:r>
        <w:rPr>
          <w:rFonts w:hint="eastAsia" w:ascii="仿宋" w:hAnsi="仿宋" w:eastAsia="仿宋" w:cs="仿宋"/>
          <w:color w:val="auto"/>
          <w:kern w:val="0"/>
          <w:sz w:val="24"/>
          <w:szCs w:val="24"/>
          <w:highlight w:val="none"/>
          <w:lang w:val="en-US" w:eastAsia="zh-CN"/>
        </w:rPr>
        <w:t>正式考试可设置考生自主重考。</w:t>
      </w:r>
    </w:p>
    <w:p w14:paraId="2030AA3F">
      <w:pPr>
        <w:widowControl/>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.试题库可自主化批量导入、关键词查询、修改和删除并对自建试题实行开放权限（部分开放、全员可见）等设置</w:t>
      </w:r>
      <w:r>
        <w:rPr>
          <w:rFonts w:hint="eastAsia" w:ascii="仿宋" w:hAnsi="仿宋" w:eastAsia="仿宋" w:cs="仿宋"/>
          <w:color w:val="auto"/>
          <w:kern w:val="0"/>
          <w:sz w:val="24"/>
          <w:szCs w:val="24"/>
          <w:highlight w:val="none"/>
          <w:lang w:eastAsia="zh-CN"/>
        </w:rPr>
        <w:t>。</w:t>
      </w:r>
    </w:p>
    <w:p w14:paraId="655AEDA1">
      <w:pPr>
        <w:widowControl/>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.对考试中的试卷可实现在手机或电脑上进行考试情况监控，实时了解考试进展状况，显示学员考试情况如作弊次数、作答时长以及整套试卷考试情况进度等情况；</w:t>
      </w:r>
      <w:r>
        <w:rPr>
          <w:rFonts w:hint="eastAsia" w:ascii="仿宋" w:hAnsi="仿宋" w:eastAsia="仿宋" w:cs="仿宋"/>
          <w:color w:val="auto"/>
          <w:kern w:val="0"/>
          <w:sz w:val="24"/>
          <w:szCs w:val="24"/>
          <w:highlight w:val="none"/>
          <w:lang w:val="en-US" w:eastAsia="zh-CN"/>
        </w:rPr>
        <w:t>考试过程中可新增考试人员，设置考生请假、重考和强制交卷。</w:t>
      </w:r>
    </w:p>
    <w:p w14:paraId="6F51DB5F">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.支持学员在移动端考试、练习、在线查询分数、错题以及管理员部分功能可在手机端进行人员管理、签到管理、理论考核监控等操作</w:t>
      </w:r>
      <w:r>
        <w:rPr>
          <w:rFonts w:hint="eastAsia" w:ascii="仿宋" w:hAnsi="仿宋" w:eastAsia="仿宋" w:cs="仿宋"/>
          <w:color w:val="auto"/>
          <w:kern w:val="0"/>
          <w:sz w:val="24"/>
          <w:szCs w:val="24"/>
          <w:highlight w:val="none"/>
          <w:lang w:eastAsia="zh-CN"/>
        </w:rPr>
        <w:t>。</w:t>
      </w:r>
    </w:p>
    <w:p w14:paraId="638C175E">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.系统功能模块可设置匿名考试，支持管理员设置匿名字段，姓名、科室、手机号等内容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考生手机端一键扫码参加考试。</w:t>
      </w:r>
    </w:p>
    <w:p w14:paraId="334D8071">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.系统考试安排支持考前预约，并对考场容纳考生人数进行限制管理，在考试过程也支持对预约考生人员进行调整考场场次的操作等设置</w:t>
      </w:r>
      <w:r>
        <w:rPr>
          <w:rFonts w:hint="eastAsia" w:ascii="仿宋" w:hAnsi="仿宋" w:eastAsia="仿宋" w:cs="仿宋"/>
          <w:color w:val="auto"/>
          <w:kern w:val="0"/>
          <w:sz w:val="24"/>
          <w:szCs w:val="24"/>
          <w:highlight w:val="none"/>
          <w:lang w:eastAsia="zh-CN"/>
        </w:rPr>
        <w:t>。</w:t>
      </w:r>
    </w:p>
    <w:p w14:paraId="1A3849CB">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.系统支持对试卷进行一套或多套试卷同时设置的考试参与人员以及考试时间段等内容，并对试卷进行分类调整等相关操作</w:t>
      </w:r>
      <w:r>
        <w:rPr>
          <w:rFonts w:hint="eastAsia" w:ascii="仿宋" w:hAnsi="仿宋" w:eastAsia="仿宋" w:cs="仿宋"/>
          <w:color w:val="auto"/>
          <w:kern w:val="0"/>
          <w:sz w:val="24"/>
          <w:szCs w:val="24"/>
          <w:highlight w:val="none"/>
          <w:lang w:eastAsia="zh-CN"/>
        </w:rPr>
        <w:t>。</w:t>
      </w:r>
    </w:p>
    <w:p w14:paraId="0B4A839D">
      <w:pPr>
        <w:widowControl/>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.支持对个人考试情况进行汇总统计分析，如按分数段、姓名、职称、科室、时间段、考试分类、层级等条件进行查询。</w:t>
      </w:r>
    </w:p>
    <w:p w14:paraId="38CE77B1">
      <w:pPr>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.操作人员可对公共查询的试题进行收藏，收藏的试题同时也可以转为自建试题，同时可以发布练习方案，管理员可以监测练习学员以及考生练习情况。</w:t>
      </w:r>
    </w:p>
    <w:p w14:paraId="7CCBF8FB">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.系统</w:t>
      </w:r>
      <w:r>
        <w:rPr>
          <w:rFonts w:hint="eastAsia" w:ascii="仿宋" w:hAnsi="仿宋" w:eastAsia="仿宋" w:cs="仿宋"/>
          <w:color w:val="auto"/>
          <w:kern w:val="0"/>
          <w:sz w:val="24"/>
          <w:szCs w:val="24"/>
          <w:highlight w:val="none"/>
          <w:lang w:val="en-US" w:eastAsia="zh-CN"/>
        </w:rPr>
        <w:t>成绩统计可自动生成图文并茂的分析报告，报告内容包含考试概况分析统计、科室考试统计、个人成绩排名和错题情况分析等，并支持一键导出下载成文档格式</w:t>
      </w:r>
      <w:r>
        <w:rPr>
          <w:rFonts w:hint="eastAsia" w:ascii="仿宋" w:hAnsi="仿宋" w:eastAsia="仿宋" w:cs="仿宋"/>
          <w:color w:val="auto"/>
          <w:kern w:val="0"/>
          <w:sz w:val="24"/>
          <w:szCs w:val="24"/>
          <w:highlight w:val="none"/>
        </w:rPr>
        <w:t>。</w:t>
      </w:r>
    </w:p>
    <w:p w14:paraId="5F6689F5">
      <w:pPr>
        <w:rPr>
          <w:rFonts w:hint="eastAsia" w:ascii="黑体" w:hAnsi="黑体" w:eastAsia="黑体" w:cs="黑体"/>
          <w:b w:val="0"/>
          <w:bCs/>
          <w:color w:val="auto"/>
          <w:sz w:val="28"/>
          <w:szCs w:val="28"/>
          <w:highlight w:val="none"/>
          <w:lang w:val="en-US" w:eastAsia="zh-CN"/>
        </w:rPr>
      </w:pPr>
    </w:p>
    <w:p w14:paraId="52569A5B">
      <w:pP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val="en-US" w:eastAsia="zh-CN"/>
        </w:rPr>
        <w:t>三</w:t>
      </w:r>
      <w:r>
        <w:rPr>
          <w:rFonts w:hint="eastAsia" w:ascii="黑体" w:hAnsi="黑体" w:eastAsia="黑体" w:cs="黑体"/>
          <w:b w:val="0"/>
          <w:bCs/>
          <w:color w:val="auto"/>
          <w:sz w:val="24"/>
          <w:szCs w:val="24"/>
          <w:highlight w:val="none"/>
        </w:rPr>
        <w:t>、售后服务要求：</w:t>
      </w:r>
    </w:p>
    <w:p w14:paraId="6EF972FE">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1.云端系统软件在运行过程中所遇到的软件维护及问题的解决均由供应商负责</w:t>
      </w:r>
      <w:r>
        <w:rPr>
          <w:rFonts w:hint="eastAsia" w:ascii="仿宋" w:hAnsi="仿宋" w:eastAsia="仿宋" w:cs="仿宋"/>
          <w:color w:val="auto"/>
          <w:kern w:val="0"/>
          <w:sz w:val="24"/>
          <w:szCs w:val="24"/>
          <w:highlight w:val="none"/>
          <w:lang w:eastAsia="zh-CN"/>
        </w:rPr>
        <w:t>。</w:t>
      </w:r>
    </w:p>
    <w:p w14:paraId="20DF9066">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2.供应商提供云服务租赁及系统维保工作，供应商应做好网络资源存储空间和网络带宽冗余，保证采购人使用应用软件运行正常和快速调用资源</w:t>
      </w:r>
      <w:r>
        <w:rPr>
          <w:rFonts w:hint="eastAsia" w:ascii="仿宋" w:hAnsi="仿宋" w:eastAsia="仿宋" w:cs="仿宋"/>
          <w:color w:val="auto"/>
          <w:kern w:val="0"/>
          <w:sz w:val="24"/>
          <w:szCs w:val="24"/>
          <w:highlight w:val="none"/>
          <w:lang w:eastAsia="zh-CN"/>
        </w:rPr>
        <w:t>。</w:t>
      </w:r>
    </w:p>
    <w:p w14:paraId="47E5E1D6">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3.定期做好资源数据更新，并提供更新表单；配合采购人做好相关自建资源、模板的工作</w:t>
      </w:r>
      <w:r>
        <w:rPr>
          <w:rFonts w:hint="eastAsia" w:ascii="仿宋" w:hAnsi="仿宋" w:eastAsia="仿宋" w:cs="仿宋"/>
          <w:color w:val="auto"/>
          <w:kern w:val="0"/>
          <w:sz w:val="24"/>
          <w:szCs w:val="24"/>
          <w:highlight w:val="none"/>
          <w:lang w:eastAsia="zh-CN"/>
        </w:rPr>
        <w:t>。</w:t>
      </w:r>
    </w:p>
    <w:p w14:paraId="4044021D">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4.供应商每季度到</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单位回访，提供软件运行维护、故障排除和资源使用情况分析，及时处理问题和解答使用人员的操作问题、做好版本内的软件优化。做好相关巡检工作记录</w:t>
      </w:r>
      <w:r>
        <w:rPr>
          <w:rFonts w:hint="eastAsia" w:ascii="仿宋" w:hAnsi="仿宋" w:eastAsia="仿宋" w:cs="仿宋"/>
          <w:color w:val="auto"/>
          <w:kern w:val="0"/>
          <w:sz w:val="24"/>
          <w:szCs w:val="24"/>
          <w:highlight w:val="none"/>
          <w:lang w:eastAsia="zh-CN"/>
        </w:rPr>
        <w:t>。</w:t>
      </w:r>
    </w:p>
    <w:p w14:paraId="08C808A5">
      <w:pPr>
        <w:widowControl/>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5.供应商在接到</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报修电话后，电话不能支持解决的，应安排工程师在不影响</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的工作情况下，及时赶到现场查找原因，排除故障，直至软件正常使用。</w:t>
      </w:r>
    </w:p>
    <w:p w14:paraId="1F6B2574">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6.对采购人的重要考核、培训，需技术人员</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保障</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，供应商应调配技术人员</w:t>
      </w:r>
      <w:r>
        <w:rPr>
          <w:rFonts w:hint="eastAsia" w:ascii="仿宋" w:hAnsi="仿宋" w:eastAsia="仿宋" w:cs="仿宋"/>
          <w:color w:val="auto"/>
          <w:kern w:val="0"/>
          <w:sz w:val="24"/>
          <w:szCs w:val="24"/>
          <w:highlight w:val="none"/>
          <w:lang w:val="en-US" w:eastAsia="zh-CN"/>
        </w:rPr>
        <w:t>安排专门技术</w:t>
      </w:r>
      <w:r>
        <w:rPr>
          <w:rFonts w:hint="eastAsia" w:ascii="仿宋" w:hAnsi="仿宋" w:eastAsia="仿宋" w:cs="仿宋"/>
          <w:color w:val="auto"/>
          <w:kern w:val="0"/>
          <w:sz w:val="24"/>
          <w:szCs w:val="24"/>
          <w:highlight w:val="none"/>
        </w:rPr>
        <w:t>保障</w:t>
      </w:r>
      <w:r>
        <w:rPr>
          <w:rFonts w:hint="eastAsia" w:ascii="仿宋" w:hAnsi="仿宋" w:eastAsia="仿宋" w:cs="仿宋"/>
          <w:color w:val="auto"/>
          <w:kern w:val="0"/>
          <w:sz w:val="24"/>
          <w:szCs w:val="24"/>
          <w:highlight w:val="none"/>
          <w:lang w:eastAsia="zh-CN"/>
        </w:rPr>
        <w:t>。</w:t>
      </w:r>
    </w:p>
    <w:p w14:paraId="7E8E084B">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7.供应商所提供货物质量必须符合国家相关标准，必须满足本次采购的要求，若所供货物经产品质量检测机构检测认定质量不合格，造成的损失和后果由该供应商负全责</w:t>
      </w:r>
      <w:r>
        <w:rPr>
          <w:rFonts w:hint="eastAsia" w:ascii="仿宋" w:hAnsi="仿宋" w:eastAsia="仿宋" w:cs="仿宋"/>
          <w:color w:val="auto"/>
          <w:kern w:val="0"/>
          <w:sz w:val="24"/>
          <w:szCs w:val="24"/>
          <w:highlight w:val="none"/>
          <w:lang w:eastAsia="zh-CN"/>
        </w:rPr>
        <w:t>。</w:t>
      </w:r>
    </w:p>
    <w:p w14:paraId="02565FFC">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8.维护响应。随时为采购人以电话、微信、电子邮件方式免费提供所买产品的服务与技术支持维护，通常数据库系统故障，提供实时响应解决。做到：30分钟内响应、1小时内解决问题、4小时解决不了的，在中心网站开通临时账号或提供备用服务器</w:t>
      </w:r>
      <w:r>
        <w:rPr>
          <w:rFonts w:hint="eastAsia" w:ascii="仿宋" w:hAnsi="仿宋" w:eastAsia="仿宋" w:cs="仿宋"/>
          <w:color w:val="auto"/>
          <w:kern w:val="0"/>
          <w:sz w:val="24"/>
          <w:szCs w:val="24"/>
          <w:highlight w:val="none"/>
          <w:lang w:eastAsia="zh-CN"/>
        </w:rPr>
        <w:t>。</w:t>
      </w:r>
    </w:p>
    <w:p w14:paraId="2725E534">
      <w:pPr>
        <w:widowControl/>
        <w:spacing w:line="360" w:lineRule="auto"/>
        <w:ind w:firstLine="360" w:firstLineChars="15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9.对系统在质保期内免费提供技术支持和维护，根据采购人需要对操作人员进行软件操作培训和医务人员集中培训</w:t>
      </w:r>
      <w:r>
        <w:rPr>
          <w:rFonts w:hint="eastAsia" w:ascii="仿宋" w:hAnsi="仿宋" w:eastAsia="仿宋" w:cs="仿宋"/>
          <w:color w:val="auto"/>
          <w:kern w:val="0"/>
          <w:sz w:val="24"/>
          <w:szCs w:val="24"/>
          <w:highlight w:val="none"/>
          <w:lang w:eastAsia="zh-CN"/>
        </w:rPr>
        <w:t>。</w:t>
      </w:r>
    </w:p>
    <w:p w14:paraId="5739DBC0">
      <w:pPr>
        <w:widowControl/>
        <w:snapToGrid w:val="0"/>
        <w:spacing w:line="360" w:lineRule="auto"/>
        <w:jc w:val="left"/>
        <w:rPr>
          <w:sz w:val="24"/>
          <w:szCs w:val="24"/>
        </w:rPr>
      </w:pPr>
    </w:p>
    <w:p w14:paraId="28E5453F"/>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decimal"/>
      <w:lvlText w:val="%1"/>
      <w:lvlJc w:val="left"/>
      <w:pPr>
        <w:tabs>
          <w:tab w:val="left" w:pos="170"/>
        </w:tabs>
        <w:ind w:left="170" w:hanging="170"/>
      </w:pPr>
      <w:rPr>
        <w:rFonts w:hint="default" w:ascii="宋体" w:hAnsi="宋体" w:eastAsia="宋体" w:cs="Times New Roman"/>
        <w:spacing w:val="-20"/>
        <w:kern w:val="2"/>
        <w:position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C946295"/>
    <w:multiLevelType w:val="multilevel"/>
    <w:tmpl w:val="5C946295"/>
    <w:lvl w:ilvl="0" w:tentative="0">
      <w:start w:val="1"/>
      <w:numFmt w:val="chineseCounting"/>
      <w:lvlText w:val="%1、"/>
      <w:lvlJc w:val="left"/>
      <w:pPr>
        <w:ind w:left="-1440" w:hanging="72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2">
    <w:nsid w:val="5C946296"/>
    <w:multiLevelType w:val="singleLevel"/>
    <w:tmpl w:val="5C946296"/>
    <w:lvl w:ilvl="0" w:tentative="0">
      <w:start w:val="1"/>
      <w:numFmt w:val="decimal"/>
      <w:suff w:val="space"/>
      <w:lvlText w:val="(%1)"/>
      <w:lvlJc w:val="left"/>
      <w:pPr>
        <w:ind w:left="0" w:firstLine="0"/>
      </w:pPr>
      <w:rPr>
        <w:rFonts w:hint="default"/>
        <w:w w:val="100"/>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12"/>
    <w:rsid w:val="001105A6"/>
    <w:rsid w:val="001B3C07"/>
    <w:rsid w:val="00350009"/>
    <w:rsid w:val="0038374E"/>
    <w:rsid w:val="00490699"/>
    <w:rsid w:val="005A3F8C"/>
    <w:rsid w:val="00742028"/>
    <w:rsid w:val="007A481D"/>
    <w:rsid w:val="008C3F12"/>
    <w:rsid w:val="008D7725"/>
    <w:rsid w:val="0092288C"/>
    <w:rsid w:val="00955370"/>
    <w:rsid w:val="009E4EC4"/>
    <w:rsid w:val="00A1617E"/>
    <w:rsid w:val="00A73532"/>
    <w:rsid w:val="00CC09F5"/>
    <w:rsid w:val="00CF2922"/>
    <w:rsid w:val="00D142E2"/>
    <w:rsid w:val="00DD65B1"/>
    <w:rsid w:val="00EF3D78"/>
    <w:rsid w:val="00F604F1"/>
    <w:rsid w:val="00F76742"/>
    <w:rsid w:val="015F5ACE"/>
    <w:rsid w:val="03A17EE6"/>
    <w:rsid w:val="0583779A"/>
    <w:rsid w:val="0A0F3944"/>
    <w:rsid w:val="0DB94E10"/>
    <w:rsid w:val="127F2C27"/>
    <w:rsid w:val="23BD1CD0"/>
    <w:rsid w:val="2C1B5309"/>
    <w:rsid w:val="33E04F5C"/>
    <w:rsid w:val="349C4117"/>
    <w:rsid w:val="39613C24"/>
    <w:rsid w:val="48260533"/>
    <w:rsid w:val="4F2506AB"/>
    <w:rsid w:val="53A43868"/>
    <w:rsid w:val="55E55B6F"/>
    <w:rsid w:val="57801270"/>
    <w:rsid w:val="59987767"/>
    <w:rsid w:val="66694154"/>
    <w:rsid w:val="6C6A4147"/>
    <w:rsid w:val="6C74363F"/>
    <w:rsid w:val="7671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2"/>
    <w:qFormat/>
    <w:uiPriority w:val="1"/>
    <w:pPr>
      <w:autoSpaceDE w:val="0"/>
      <w:autoSpaceDN w:val="0"/>
      <w:jc w:val="left"/>
    </w:pPr>
    <w:rPr>
      <w:rFonts w:ascii="宋体" w:hAnsi="宋体" w:eastAsia="宋体" w:cs="宋体"/>
      <w:kern w:val="0"/>
      <w:sz w:val="19"/>
      <w:szCs w:val="19"/>
      <w:lang w:eastAsia="en-US"/>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table" w:styleId="12">
    <w:name w:val="Table Grid"/>
    <w:basedOn w:val="11"/>
    <w:qFormat/>
    <w:uiPriority w:val="9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semiHidden/>
    <w:qFormat/>
    <w:uiPriority w:val="99"/>
    <w:rPr>
      <w:sz w:val="18"/>
      <w:szCs w:val="18"/>
    </w:rPr>
  </w:style>
  <w:style w:type="paragraph" w:styleId="16">
    <w:name w:val="List Paragraph"/>
    <w:basedOn w:val="1"/>
    <w:link w:val="17"/>
    <w:qFormat/>
    <w:uiPriority w:val="99"/>
    <w:pPr>
      <w:ind w:firstLine="420" w:firstLineChars="200"/>
    </w:pPr>
  </w:style>
  <w:style w:type="character" w:customStyle="1" w:styleId="17">
    <w:name w:val="列出段落 Char"/>
    <w:link w:val="16"/>
    <w:qFormat/>
    <w:uiPriority w:val="34"/>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character" w:customStyle="1" w:styleId="21">
    <w:name w:val="标题 4 Char"/>
    <w:basedOn w:val="13"/>
    <w:link w:val="5"/>
    <w:qFormat/>
    <w:uiPriority w:val="9"/>
    <w:rPr>
      <w:rFonts w:asciiTheme="majorHAnsi" w:hAnsiTheme="majorHAnsi" w:eastAsiaTheme="majorEastAsia" w:cstheme="majorBidi"/>
      <w:b/>
      <w:bCs/>
      <w:sz w:val="28"/>
      <w:szCs w:val="28"/>
    </w:rPr>
  </w:style>
  <w:style w:type="character" w:customStyle="1" w:styleId="22">
    <w:name w:val="正文文本 Char"/>
    <w:basedOn w:val="13"/>
    <w:link w:val="7"/>
    <w:qFormat/>
    <w:uiPriority w:val="1"/>
    <w:rPr>
      <w:rFonts w:ascii="宋体" w:hAnsi="宋体" w:eastAsia="宋体" w:cs="宋体"/>
      <w:kern w:val="0"/>
      <w:sz w:val="19"/>
      <w:szCs w:val="19"/>
      <w:lang w:eastAsia="en-US"/>
    </w:rPr>
  </w:style>
  <w:style w:type="paragraph" w:customStyle="1" w:styleId="23">
    <w:name w:val="Table Paragraph"/>
    <w:basedOn w:val="1"/>
    <w:qFormat/>
    <w:uiPriority w:val="1"/>
    <w:pPr>
      <w:autoSpaceDE w:val="0"/>
      <w:autoSpaceDN w:val="0"/>
      <w:adjustRightInd w:val="0"/>
      <w:spacing w:before="70"/>
      <w:jc w:val="center"/>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7504</Words>
  <Characters>7816</Characters>
  <Lines>103</Lines>
  <Paragraphs>29</Paragraphs>
  <TotalTime>7</TotalTime>
  <ScaleCrop>false</ScaleCrop>
  <LinksUpToDate>false</LinksUpToDate>
  <CharactersWithSpaces>8023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2022-10-09T01:11:00Z</dcterms:created>
  <dc:creator>xz1</dc:creator>
  <cp:lastModifiedBy>Administrator</cp:lastModifiedBy>
  <dcterms:modified xsi:type="dcterms:W3CDTF">2025-03-14T06:25:37Z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1DE1D61A31364E13800EDB24CABAD27A_13</vt:lpwstr>
  </property>
  <property fmtid="{D5CDD505-2E9C-101B-9397-08002B2CF9AE}" pid="4" name="KSOTemplateDocerSaveRecord">
    <vt:lpwstr>eyJoZGlkIjoiNGEwMmU2MzUxNTFjMmI2ZGJlNmVlODA4NjFhYjEyY2IiLCJ1c2VySWQiOiIxMjE4ODg1MjM2In0=</vt:lpwstr>
  </property>
</Properties>
</file>